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112"/>
        <w:gridCol w:w="5112"/>
      </w:tblGrid>
      <w:tr w:rsidR="003B7E87" w:rsidRPr="009D2FF2" w14:paraId="18D2E47B" w14:textId="77777777">
        <w:trPr>
          <w:jc w:val="center"/>
        </w:trPr>
        <w:tc>
          <w:tcPr>
            <w:tcW w:w="5112" w:type="dxa"/>
            <w:tcMar>
              <w:top w:w="0" w:type="dxa"/>
              <w:left w:w="0" w:type="dxa"/>
              <w:bottom w:w="0" w:type="dxa"/>
              <w:right w:w="0" w:type="dxa"/>
            </w:tcMar>
            <w:vAlign w:val="center"/>
          </w:tcPr>
          <w:p w14:paraId="59002DA3" w14:textId="77777777" w:rsidR="003B7E87" w:rsidRDefault="00000000">
            <w:pPr>
              <w:spacing w:before="60" w:after="0"/>
            </w:pPr>
            <w:r>
              <w:rPr>
                <w:noProof/>
              </w:rPr>
              <w:drawing>
                <wp:inline distT="0" distB="0" distL="0" distR="0" wp14:anchorId="2C496C3C" wp14:editId="578685B9">
                  <wp:extent cx="2075291" cy="8515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_alphonse.png"/>
                          <pic:cNvPicPr/>
                        </pic:nvPicPr>
                        <pic:blipFill>
                          <a:blip r:embed="rId8"/>
                          <a:stretch>
                            <a:fillRect/>
                          </a:stretch>
                        </pic:blipFill>
                        <pic:spPr>
                          <a:xfrm>
                            <a:off x="0" y="0"/>
                            <a:ext cx="2088099" cy="856790"/>
                          </a:xfrm>
                          <a:prstGeom prst="rect">
                            <a:avLst/>
                          </a:prstGeom>
                        </pic:spPr>
                      </pic:pic>
                    </a:graphicData>
                  </a:graphic>
                </wp:inline>
              </w:drawing>
            </w:r>
          </w:p>
        </w:tc>
        <w:tc>
          <w:tcPr>
            <w:tcW w:w="5112" w:type="dxa"/>
            <w:tcMar>
              <w:top w:w="0" w:type="dxa"/>
              <w:left w:w="0" w:type="dxa"/>
              <w:bottom w:w="0" w:type="dxa"/>
              <w:right w:w="0" w:type="dxa"/>
            </w:tcMar>
            <w:vAlign w:val="center"/>
          </w:tcPr>
          <w:p w14:paraId="76E3B63B" w14:textId="77777777" w:rsidR="003B7E87" w:rsidRPr="009D2FF2" w:rsidRDefault="00000000">
            <w:pPr>
              <w:spacing w:before="100" w:after="0"/>
              <w:rPr>
                <w:lang w:val="fr-CA"/>
              </w:rPr>
            </w:pPr>
            <w:r w:rsidRPr="009D2FF2">
              <w:rPr>
                <w:lang w:val="fr-CA"/>
              </w:rPr>
              <w:t>Province de Québec</w:t>
            </w:r>
            <w:r w:rsidRPr="009D2FF2">
              <w:rPr>
                <w:lang w:val="fr-CA"/>
              </w:rPr>
              <w:br/>
              <w:t>MRC de Bonaventure</w:t>
            </w:r>
            <w:r w:rsidRPr="009D2FF2">
              <w:rPr>
                <w:lang w:val="fr-CA"/>
              </w:rPr>
              <w:br/>
              <w:t>Municipalité de Saint-Alphonse</w:t>
            </w:r>
          </w:p>
        </w:tc>
      </w:tr>
    </w:tbl>
    <w:p w14:paraId="6D93FDA6" w14:textId="77777777" w:rsidR="003B7E87" w:rsidRPr="009D2FF2" w:rsidRDefault="00000000">
      <w:pPr>
        <w:keepNext/>
        <w:spacing w:before="280" w:after="0"/>
        <w:jc w:val="center"/>
        <w:rPr>
          <w:lang w:val="fr-CA"/>
        </w:rPr>
      </w:pPr>
      <w:r w:rsidRPr="009D2FF2">
        <w:rPr>
          <w:b/>
          <w:sz w:val="24"/>
          <w:lang w:val="fr-CA"/>
        </w:rPr>
        <w:t>PROJET DE RÈGLEMENT NUMÉRO 362-2026</w:t>
      </w:r>
    </w:p>
    <w:p w14:paraId="6176C7A2" w14:textId="77777777" w:rsidR="003B7E87" w:rsidRPr="009D2FF2" w:rsidRDefault="00000000">
      <w:pPr>
        <w:keepNext/>
        <w:pBdr>
          <w:bottom w:val="single" w:sz="10" w:space="1" w:color="000000"/>
        </w:pBdr>
        <w:spacing w:after="160"/>
        <w:jc w:val="center"/>
        <w:rPr>
          <w:lang w:val="fr-CA"/>
        </w:rPr>
      </w:pPr>
      <w:r w:rsidRPr="009D2FF2">
        <w:rPr>
          <w:b/>
          <w:sz w:val="24"/>
          <w:lang w:val="fr-CA"/>
        </w:rPr>
        <w:t>DÉCRÉTANT DES DÉPENSES EN IMMOBILISATIONS ET UN EMPRUNT DE 246 618 $ POUR LA CONSTRUCTION ET L’AMÉNAGEMENT D’UN ABRI À SEL</w:t>
      </w:r>
    </w:p>
    <w:p w14:paraId="24D57549"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la Municipalité de Saint-Alphonse désire se prévaloir du pouvoir prévu au deuxième alinéa de l’article 1063 du </w:t>
      </w:r>
      <w:r w:rsidRPr="009D2FF2">
        <w:rPr>
          <w:i/>
          <w:lang w:val="fr-CA"/>
        </w:rPr>
        <w:t>Code municipal du Québec</w:t>
      </w:r>
      <w:r w:rsidRPr="009D2FF2">
        <w:rPr>
          <w:lang w:val="fr-CA"/>
        </w:rPr>
        <w:t xml:space="preserve"> afin d’adopter un règlement d’emprunt de type parapluie;</w:t>
      </w:r>
    </w:p>
    <w:p w14:paraId="2C01266C"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la Municipalité souhaite réaliser des dépenses en immobilisations relativement à la construction et l’aménagement d’un abri à sel situé sur le lot 5 522 561, derrière l’immeuble municipal situé au 127, rue Principale Est;</w:t>
      </w:r>
    </w:p>
    <w:p w14:paraId="432BB9DA"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le coût net municipal estimé du projet est de 246 618 $;</w:t>
      </w:r>
    </w:p>
    <w:p w14:paraId="7F85B802"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le projet comprend notamment l’acquisition du terrain, les frais de notaire, les frais d’arpentage, les honoraires professionnels, les travaux de construction, les frais accessoires, les imprévus, les taxes nettes et les autres dépenses connexes nécessaires à la réalisation du projet;</w:t>
      </w:r>
    </w:p>
    <w:p w14:paraId="47F1206F"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l’estimation détaillée de la dépense est jointe au présent règlement comme Annexe A pour en faire partie intégrante;</w:t>
      </w:r>
    </w:p>
    <w:p w14:paraId="087617F9"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la Municipalité a déposé ou prévoit modifier sa programmation afin d’affecter une aide financière dans le cadre du </w:t>
      </w:r>
      <w:r w:rsidRPr="009D2FF2">
        <w:rPr>
          <w:i/>
          <w:lang w:val="fr-CA"/>
        </w:rPr>
        <w:t>Programme de la taxe sur l’essence et de la contribution du Québec 2024-2028</w:t>
      </w:r>
      <w:r w:rsidRPr="009D2FF2">
        <w:rPr>
          <w:lang w:val="fr-CA"/>
        </w:rPr>
        <w:t>, ci-après appelée TECQ 2024-2028;</w:t>
      </w:r>
    </w:p>
    <w:p w14:paraId="3582502C"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la Municipalité estime l’aide financière applicable au projet à environ 130 800 $;</w:t>
      </w:r>
    </w:p>
    <w:p w14:paraId="634A81F9"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la Municipalité souhaite emprunter le plein montant du coût net municipal estimé afin d’assurer les liquidités nécessaires à la réalisation du projet, dans l’attente du versement de l’aide financière applicable;</w:t>
      </w:r>
    </w:p>
    <w:p w14:paraId="3C690D11"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l’avis de motion du présent règlement a été dûment donné lors de la séance ordinaire du conseil tenue le 13 juillet 2026;</w:t>
      </w:r>
    </w:p>
    <w:p w14:paraId="25271653" w14:textId="77777777" w:rsidR="003B7E87" w:rsidRPr="009D2FF2" w:rsidRDefault="00000000">
      <w:pPr>
        <w:spacing w:before="40" w:after="140" w:line="240" w:lineRule="auto"/>
        <w:jc w:val="both"/>
        <w:rPr>
          <w:lang w:val="fr-CA"/>
        </w:rPr>
      </w:pPr>
      <w:r w:rsidRPr="009D2FF2">
        <w:rPr>
          <w:b/>
          <w:lang w:val="fr-CA"/>
        </w:rPr>
        <w:t>ATTENDU QUE</w:t>
      </w:r>
      <w:r w:rsidRPr="009D2FF2">
        <w:rPr>
          <w:lang w:val="fr-CA"/>
        </w:rPr>
        <w:t xml:space="preserve"> le projet de règlement a été déposé lors de cette même séance;</w:t>
      </w:r>
    </w:p>
    <w:p w14:paraId="67903D20" w14:textId="77777777" w:rsidR="003B7E87" w:rsidRPr="009D2FF2" w:rsidRDefault="00000000">
      <w:pPr>
        <w:spacing w:before="40"/>
        <w:jc w:val="both"/>
        <w:rPr>
          <w:lang w:val="fr-CA"/>
        </w:rPr>
      </w:pPr>
      <w:r w:rsidRPr="009D2FF2">
        <w:rPr>
          <w:b/>
          <w:lang w:val="fr-CA"/>
        </w:rPr>
        <w:t>EN CONSÉQUENCE, le conseil décrète ce qui suit :</w:t>
      </w:r>
    </w:p>
    <w:p w14:paraId="2385DFB3" w14:textId="77777777" w:rsidR="003B7E87" w:rsidRPr="009D2FF2" w:rsidRDefault="00000000">
      <w:pPr>
        <w:keepNext/>
        <w:spacing w:before="160" w:after="80"/>
        <w:rPr>
          <w:lang w:val="fr-CA"/>
        </w:rPr>
      </w:pPr>
      <w:r w:rsidRPr="009D2FF2">
        <w:rPr>
          <w:b/>
          <w:u w:val="single"/>
          <w:lang w:val="fr-CA"/>
        </w:rPr>
        <w:t>Article 1</w:t>
      </w:r>
    </w:p>
    <w:p w14:paraId="61E39F28" w14:textId="77777777" w:rsidR="003B7E87" w:rsidRPr="009D2FF2" w:rsidRDefault="00000000">
      <w:pPr>
        <w:spacing w:after="140" w:line="240" w:lineRule="auto"/>
        <w:jc w:val="both"/>
        <w:rPr>
          <w:lang w:val="fr-CA"/>
        </w:rPr>
      </w:pPr>
      <w:r w:rsidRPr="009D2FF2">
        <w:rPr>
          <w:lang w:val="fr-CA"/>
        </w:rPr>
        <w:t>Le préambule fait partie intégrante du présent règlement.</w:t>
      </w:r>
    </w:p>
    <w:p w14:paraId="745DA628" w14:textId="77777777" w:rsidR="003B7E87" w:rsidRPr="009D2FF2" w:rsidRDefault="00000000">
      <w:pPr>
        <w:keepNext/>
        <w:spacing w:before="160" w:after="80"/>
        <w:rPr>
          <w:lang w:val="fr-CA"/>
        </w:rPr>
      </w:pPr>
      <w:r w:rsidRPr="009D2FF2">
        <w:rPr>
          <w:b/>
          <w:u w:val="single"/>
          <w:lang w:val="fr-CA"/>
        </w:rPr>
        <w:t>Article 2</w:t>
      </w:r>
    </w:p>
    <w:p w14:paraId="47BC4A8F" w14:textId="77777777" w:rsidR="003B7E87" w:rsidRPr="009D2FF2" w:rsidRDefault="00000000">
      <w:pPr>
        <w:spacing w:after="140" w:line="240" w:lineRule="auto"/>
        <w:jc w:val="both"/>
        <w:rPr>
          <w:lang w:val="fr-CA"/>
        </w:rPr>
      </w:pPr>
      <w:r w:rsidRPr="009D2FF2">
        <w:rPr>
          <w:lang w:val="fr-CA"/>
        </w:rPr>
        <w:t>Le conseil est autorisé à effectuer des dépenses en immobilisations relativement à la construction et l’aménagement d’un abri à sel situé sur le lot 5 522 561, derrière l’immeuble municipal situé au 127, rue Principale Est, pour un montant total de 246 618 $.</w:t>
      </w:r>
    </w:p>
    <w:p w14:paraId="1D853DDF" w14:textId="77777777" w:rsidR="003B7E87" w:rsidRPr="009D2FF2" w:rsidRDefault="00000000">
      <w:pPr>
        <w:spacing w:after="140" w:line="240" w:lineRule="auto"/>
        <w:jc w:val="both"/>
        <w:rPr>
          <w:lang w:val="fr-CA"/>
        </w:rPr>
      </w:pPr>
      <w:r w:rsidRPr="009D2FF2">
        <w:rPr>
          <w:lang w:val="fr-CA"/>
        </w:rPr>
        <w:t>Ces dépenses comprennent notamment l’acquisition du terrain, les frais de notaire, les frais d’arpentage, les honoraires professionnels, les travaux de construction, les frais accessoires, les imprévus, les taxes nettes et les autres dépenses connexes nécessaires à la réalisation du projet, le tout conformément à l’estimation détaillée jointe comme Annexe A.</w:t>
      </w:r>
    </w:p>
    <w:p w14:paraId="1BA35966" w14:textId="77777777" w:rsidR="003B7E87" w:rsidRPr="009D2FF2" w:rsidRDefault="00000000">
      <w:pPr>
        <w:keepNext/>
        <w:spacing w:before="160" w:after="80"/>
        <w:rPr>
          <w:lang w:val="fr-CA"/>
        </w:rPr>
      </w:pPr>
      <w:r w:rsidRPr="009D2FF2">
        <w:rPr>
          <w:b/>
          <w:u w:val="single"/>
          <w:lang w:val="fr-CA"/>
        </w:rPr>
        <w:lastRenderedPageBreak/>
        <w:t>Article 3</w:t>
      </w:r>
    </w:p>
    <w:p w14:paraId="64A9592C" w14:textId="77777777" w:rsidR="003B7E87" w:rsidRPr="009D2FF2" w:rsidRDefault="00000000">
      <w:pPr>
        <w:spacing w:after="140" w:line="240" w:lineRule="auto"/>
        <w:jc w:val="both"/>
        <w:rPr>
          <w:lang w:val="fr-CA"/>
        </w:rPr>
      </w:pPr>
      <w:r w:rsidRPr="009D2FF2">
        <w:rPr>
          <w:lang w:val="fr-CA"/>
        </w:rPr>
        <w:t>Aux fins d’acquitter les dépenses prévues au présent règlement, le conseil est autorisé à emprunter un montant de 246 618 $ sur une période de 10 ans.</w:t>
      </w:r>
    </w:p>
    <w:p w14:paraId="4FCED2E3" w14:textId="77777777" w:rsidR="003B7E87" w:rsidRPr="009D2FF2" w:rsidRDefault="00000000">
      <w:pPr>
        <w:keepNext/>
        <w:spacing w:before="160" w:after="80"/>
        <w:rPr>
          <w:lang w:val="fr-CA"/>
        </w:rPr>
      </w:pPr>
      <w:r w:rsidRPr="009D2FF2">
        <w:rPr>
          <w:b/>
          <w:u w:val="single"/>
          <w:lang w:val="fr-CA"/>
        </w:rPr>
        <w:t>Article 4</w:t>
      </w:r>
    </w:p>
    <w:p w14:paraId="4C7D2981" w14:textId="77777777" w:rsidR="003B7E87" w:rsidRPr="009D2FF2" w:rsidRDefault="00000000">
      <w:pPr>
        <w:spacing w:after="140" w:line="240" w:lineRule="auto"/>
        <w:jc w:val="both"/>
        <w:rPr>
          <w:lang w:val="fr-CA"/>
        </w:rPr>
      </w:pPr>
      <w:r w:rsidRPr="009D2FF2">
        <w:rPr>
          <w:lang w:val="fr-CA"/>
        </w:rPr>
        <w:t>Pour pourvoir aux dépenses engagées relativement aux intérêts et au remboursement en capital des échéances annuelles de l’emprunt, il est par le présent règlement imposé et il sera prélevé, annuellement, durant le terme de l’emprunt, sur tous les immeubles imposables situés sur le territoire de la Municipalité, une taxe spéciale à un taux suffisant d’après leur valeur telle qu’elle apparaît au rôle d’évaluation en vigueur chaque année.</w:t>
      </w:r>
    </w:p>
    <w:p w14:paraId="78AE07EF" w14:textId="77777777" w:rsidR="003B7E87" w:rsidRPr="009D2FF2" w:rsidRDefault="00000000">
      <w:pPr>
        <w:keepNext/>
        <w:spacing w:before="160" w:after="80"/>
        <w:rPr>
          <w:lang w:val="fr-CA"/>
        </w:rPr>
      </w:pPr>
      <w:r w:rsidRPr="009D2FF2">
        <w:rPr>
          <w:b/>
          <w:u w:val="single"/>
          <w:lang w:val="fr-CA"/>
        </w:rPr>
        <w:t>Article 5</w:t>
      </w:r>
    </w:p>
    <w:p w14:paraId="4773665E" w14:textId="77777777" w:rsidR="003B7E87" w:rsidRPr="009D2FF2" w:rsidRDefault="00000000">
      <w:pPr>
        <w:spacing w:after="140" w:line="240" w:lineRule="auto"/>
        <w:jc w:val="both"/>
        <w:rPr>
          <w:lang w:val="fr-CA"/>
        </w:rPr>
      </w:pPr>
      <w:r w:rsidRPr="009D2FF2">
        <w:rPr>
          <w:lang w:val="fr-CA"/>
        </w:rPr>
        <w:t xml:space="preserve">Le conseil affecte à la réduction de l’emprunt décrété par le présent règlement toute contribution, subvention ou aide financière qui pourrait être versée pour le paiement d’une partie ou de la totalité de la dépense décrétée par le présent règlement, notamment toute somme reçue dans le cadre de la </w:t>
      </w:r>
      <w:r w:rsidRPr="009D2FF2">
        <w:rPr>
          <w:i/>
          <w:lang w:val="fr-CA"/>
        </w:rPr>
        <w:t>TECQ 2024-2028</w:t>
      </w:r>
      <w:r w:rsidRPr="009D2FF2">
        <w:rPr>
          <w:lang w:val="fr-CA"/>
        </w:rPr>
        <w:t>.</w:t>
      </w:r>
    </w:p>
    <w:p w14:paraId="312AF872" w14:textId="77777777" w:rsidR="003B7E87" w:rsidRPr="009D2FF2" w:rsidRDefault="00000000">
      <w:pPr>
        <w:spacing w:after="140" w:line="240" w:lineRule="auto"/>
        <w:jc w:val="both"/>
        <w:rPr>
          <w:lang w:val="fr-CA"/>
        </w:rPr>
      </w:pPr>
      <w:r w:rsidRPr="009D2FF2">
        <w:rPr>
          <w:lang w:val="fr-CA"/>
        </w:rPr>
        <w:t>Le conseil affecte également au paiement d’une partie ou de la totalité du service de dette toute subvention payable sur plusieurs années. Le terme de remboursement de l’emprunt correspondant au montant de la subvention sera ajusté automatiquement à la période fixée pour le versement de cette subvention.</w:t>
      </w:r>
    </w:p>
    <w:p w14:paraId="5889EE27" w14:textId="77777777" w:rsidR="003B7E87" w:rsidRPr="009D2FF2" w:rsidRDefault="00000000">
      <w:pPr>
        <w:keepNext/>
        <w:spacing w:before="160" w:after="80"/>
        <w:rPr>
          <w:lang w:val="fr-CA"/>
        </w:rPr>
      </w:pPr>
      <w:r w:rsidRPr="009D2FF2">
        <w:rPr>
          <w:b/>
          <w:u w:val="single"/>
          <w:lang w:val="fr-CA"/>
        </w:rPr>
        <w:t>Article 6</w:t>
      </w:r>
    </w:p>
    <w:p w14:paraId="3E82259C" w14:textId="77777777" w:rsidR="003B7E87" w:rsidRPr="009D2FF2" w:rsidRDefault="00000000">
      <w:pPr>
        <w:spacing w:after="140" w:line="240" w:lineRule="auto"/>
        <w:jc w:val="both"/>
        <w:rPr>
          <w:lang w:val="fr-CA"/>
        </w:rPr>
      </w:pPr>
      <w:r w:rsidRPr="009D2FF2">
        <w:rPr>
          <w:lang w:val="fr-CA"/>
        </w:rPr>
        <w:t>Le présent règlement entrera en vigueur conformément à la loi.</w:t>
      </w:r>
    </w:p>
    <w:p w14:paraId="21E9AA8A" w14:textId="77777777" w:rsidR="003B7E87" w:rsidRPr="009D2FF2" w:rsidRDefault="00000000">
      <w:pPr>
        <w:spacing w:before="280" w:after="0"/>
        <w:rPr>
          <w:lang w:val="fr-CA"/>
        </w:rPr>
      </w:pPr>
      <w:r w:rsidRPr="009D2FF2">
        <w:rPr>
          <w:b/>
          <w:lang w:val="fr-CA"/>
        </w:rPr>
        <w:t>PROJET DÉPOSÉ LE 13 JUILLET 2026</w:t>
      </w:r>
    </w:p>
    <w:p w14:paraId="1C4033F2" w14:textId="77777777" w:rsidR="003B7E87" w:rsidRPr="009D2FF2" w:rsidRDefault="00000000">
      <w:pPr>
        <w:rPr>
          <w:lang w:val="fr-CA"/>
        </w:rPr>
      </w:pPr>
      <w:r w:rsidRPr="009D2FF2">
        <w:rPr>
          <w:lang w:val="fr-CA"/>
        </w:rPr>
        <w:br w:type="page"/>
      </w:r>
    </w:p>
    <w:p w14:paraId="66158D26" w14:textId="77777777" w:rsidR="003B7E87" w:rsidRPr="009D2FF2" w:rsidRDefault="00000000">
      <w:pPr>
        <w:keepNext/>
        <w:spacing w:before="120" w:after="0"/>
        <w:jc w:val="center"/>
        <w:rPr>
          <w:lang w:val="fr-CA"/>
        </w:rPr>
      </w:pPr>
      <w:r w:rsidRPr="009D2FF2">
        <w:rPr>
          <w:b/>
          <w:sz w:val="24"/>
          <w:lang w:val="fr-CA"/>
        </w:rPr>
        <w:lastRenderedPageBreak/>
        <w:t>PROJET DE RÈGLEMENT NUMÉRO 362-2026</w:t>
      </w:r>
    </w:p>
    <w:p w14:paraId="63D4DA85" w14:textId="77777777" w:rsidR="003B7E87" w:rsidRPr="009D2FF2" w:rsidRDefault="00000000">
      <w:pPr>
        <w:keepNext/>
        <w:spacing w:after="40"/>
        <w:jc w:val="center"/>
        <w:rPr>
          <w:lang w:val="fr-CA"/>
        </w:rPr>
      </w:pPr>
      <w:r w:rsidRPr="009D2FF2">
        <w:rPr>
          <w:b/>
          <w:sz w:val="24"/>
          <w:lang w:val="fr-CA"/>
        </w:rPr>
        <w:t>ANNEXE A</w:t>
      </w:r>
    </w:p>
    <w:p w14:paraId="77D019D9" w14:textId="77777777" w:rsidR="003B7E87" w:rsidRPr="009D2FF2" w:rsidRDefault="00000000">
      <w:pPr>
        <w:keepNext/>
        <w:pBdr>
          <w:bottom w:val="single" w:sz="8" w:space="1" w:color="000000"/>
        </w:pBdr>
        <w:jc w:val="center"/>
        <w:rPr>
          <w:lang w:val="fr-CA"/>
        </w:rPr>
      </w:pPr>
      <w:r w:rsidRPr="009D2FF2">
        <w:rPr>
          <w:b/>
          <w:lang w:val="fr-CA"/>
        </w:rPr>
        <w:t>ESTIMATION DÉTAILLÉE DE LA DÉPENSE</w:t>
      </w: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232"/>
        <w:gridCol w:w="7848"/>
      </w:tblGrid>
      <w:tr w:rsidR="003B7E87" w:rsidRPr="009D2FF2" w14:paraId="2ABFC406" w14:textId="77777777">
        <w:trPr>
          <w:jc w:val="center"/>
        </w:trPr>
        <w:tc>
          <w:tcPr>
            <w:tcW w:w="2232" w:type="dxa"/>
            <w:shd w:val="clear" w:color="auto" w:fill="D9E2F3"/>
            <w:tcMar>
              <w:top w:w="65" w:type="dxa"/>
              <w:left w:w="75" w:type="dxa"/>
              <w:bottom w:w="65" w:type="dxa"/>
              <w:right w:w="75" w:type="dxa"/>
            </w:tcMar>
            <w:vAlign w:val="center"/>
          </w:tcPr>
          <w:p w14:paraId="057C8B81" w14:textId="77777777" w:rsidR="003B7E87" w:rsidRDefault="00000000">
            <w:pPr>
              <w:spacing w:after="0" w:line="240" w:lineRule="auto"/>
            </w:pPr>
            <w:proofErr w:type="spellStart"/>
            <w:r>
              <w:rPr>
                <w:b/>
                <w:sz w:val="19"/>
              </w:rPr>
              <w:t>Projet</w:t>
            </w:r>
            <w:proofErr w:type="spellEnd"/>
          </w:p>
        </w:tc>
        <w:tc>
          <w:tcPr>
            <w:tcW w:w="7848" w:type="dxa"/>
            <w:tcMar>
              <w:top w:w="65" w:type="dxa"/>
              <w:left w:w="75" w:type="dxa"/>
              <w:bottom w:w="65" w:type="dxa"/>
              <w:right w:w="75" w:type="dxa"/>
            </w:tcMar>
            <w:vAlign w:val="center"/>
          </w:tcPr>
          <w:p w14:paraId="1600761C" w14:textId="77777777" w:rsidR="003B7E87" w:rsidRPr="009D2FF2" w:rsidRDefault="00000000">
            <w:pPr>
              <w:spacing w:after="0" w:line="240" w:lineRule="auto"/>
              <w:rPr>
                <w:lang w:val="fr-CA"/>
              </w:rPr>
            </w:pPr>
            <w:r w:rsidRPr="009D2FF2">
              <w:rPr>
                <w:sz w:val="19"/>
                <w:lang w:val="fr-CA"/>
              </w:rPr>
              <w:t>Construction et l’aménagement d’un abri à sel — lot 5 522 561</w:t>
            </w:r>
          </w:p>
        </w:tc>
      </w:tr>
      <w:tr w:rsidR="003B7E87" w:rsidRPr="009D2FF2" w14:paraId="17154EDC" w14:textId="77777777">
        <w:trPr>
          <w:jc w:val="center"/>
        </w:trPr>
        <w:tc>
          <w:tcPr>
            <w:tcW w:w="2232" w:type="dxa"/>
            <w:shd w:val="clear" w:color="auto" w:fill="D9E2F3"/>
            <w:tcMar>
              <w:top w:w="65" w:type="dxa"/>
              <w:left w:w="75" w:type="dxa"/>
              <w:bottom w:w="65" w:type="dxa"/>
              <w:right w:w="75" w:type="dxa"/>
            </w:tcMar>
            <w:vAlign w:val="center"/>
          </w:tcPr>
          <w:p w14:paraId="19CFE855" w14:textId="77777777" w:rsidR="003B7E87" w:rsidRDefault="00000000">
            <w:pPr>
              <w:spacing w:after="0" w:line="240" w:lineRule="auto"/>
            </w:pPr>
            <w:proofErr w:type="spellStart"/>
            <w:r>
              <w:rPr>
                <w:b/>
                <w:sz w:val="19"/>
              </w:rPr>
              <w:t>Préparé</w:t>
            </w:r>
            <w:proofErr w:type="spellEnd"/>
            <w:r>
              <w:rPr>
                <w:b/>
                <w:sz w:val="19"/>
              </w:rPr>
              <w:t xml:space="preserve"> par</w:t>
            </w:r>
          </w:p>
        </w:tc>
        <w:tc>
          <w:tcPr>
            <w:tcW w:w="7848" w:type="dxa"/>
            <w:tcMar>
              <w:top w:w="65" w:type="dxa"/>
              <w:left w:w="75" w:type="dxa"/>
              <w:bottom w:w="65" w:type="dxa"/>
              <w:right w:w="75" w:type="dxa"/>
            </w:tcMar>
            <w:vAlign w:val="center"/>
          </w:tcPr>
          <w:p w14:paraId="5810C9A9" w14:textId="26CBCB60" w:rsidR="003B7E87" w:rsidRPr="009D2FF2" w:rsidRDefault="005C25F7">
            <w:pPr>
              <w:spacing w:after="0" w:line="240" w:lineRule="auto"/>
              <w:rPr>
                <w:lang w:val="fr-CA"/>
              </w:rPr>
            </w:pPr>
            <w:r>
              <w:rPr>
                <w:sz w:val="19"/>
                <w:lang w:val="fr-CA"/>
              </w:rPr>
              <w:t>Jordan Charest</w:t>
            </w:r>
          </w:p>
        </w:tc>
      </w:tr>
      <w:tr w:rsidR="003B7E87" w14:paraId="7C29C43A" w14:textId="77777777">
        <w:trPr>
          <w:jc w:val="center"/>
        </w:trPr>
        <w:tc>
          <w:tcPr>
            <w:tcW w:w="2232" w:type="dxa"/>
            <w:shd w:val="clear" w:color="auto" w:fill="D9E2F3"/>
            <w:tcMar>
              <w:top w:w="65" w:type="dxa"/>
              <w:left w:w="75" w:type="dxa"/>
              <w:bottom w:w="65" w:type="dxa"/>
              <w:right w:w="75" w:type="dxa"/>
            </w:tcMar>
            <w:vAlign w:val="center"/>
          </w:tcPr>
          <w:p w14:paraId="277F0811" w14:textId="77777777" w:rsidR="003B7E87" w:rsidRDefault="00000000">
            <w:pPr>
              <w:spacing w:after="0" w:line="240" w:lineRule="auto"/>
            </w:pPr>
            <w:r>
              <w:rPr>
                <w:b/>
                <w:sz w:val="19"/>
              </w:rPr>
              <w:t xml:space="preserve">Date de </w:t>
            </w:r>
            <w:proofErr w:type="spellStart"/>
            <w:r>
              <w:rPr>
                <w:b/>
                <w:sz w:val="19"/>
              </w:rPr>
              <w:t>l’estimation</w:t>
            </w:r>
            <w:proofErr w:type="spellEnd"/>
          </w:p>
        </w:tc>
        <w:tc>
          <w:tcPr>
            <w:tcW w:w="7848" w:type="dxa"/>
            <w:tcMar>
              <w:top w:w="65" w:type="dxa"/>
              <w:left w:w="75" w:type="dxa"/>
              <w:bottom w:w="65" w:type="dxa"/>
              <w:right w:w="75" w:type="dxa"/>
            </w:tcMar>
            <w:vAlign w:val="center"/>
          </w:tcPr>
          <w:p w14:paraId="4F654C37" w14:textId="2F7A04FF" w:rsidR="003B7E87" w:rsidRDefault="00D90683">
            <w:pPr>
              <w:spacing w:after="0" w:line="240" w:lineRule="auto"/>
            </w:pPr>
            <w:r>
              <w:rPr>
                <w:sz w:val="19"/>
              </w:rPr>
              <w:t xml:space="preserve">7 </w:t>
            </w:r>
            <w:proofErr w:type="spellStart"/>
            <w:r>
              <w:rPr>
                <w:sz w:val="19"/>
              </w:rPr>
              <w:t>juillet</w:t>
            </w:r>
            <w:proofErr w:type="spellEnd"/>
            <w:r>
              <w:rPr>
                <w:sz w:val="19"/>
              </w:rPr>
              <w:t xml:space="preserve"> 2026</w:t>
            </w:r>
          </w:p>
        </w:tc>
      </w:tr>
      <w:tr w:rsidR="003B7E87" w14:paraId="37DB4AFB" w14:textId="77777777">
        <w:trPr>
          <w:jc w:val="center"/>
        </w:trPr>
        <w:tc>
          <w:tcPr>
            <w:tcW w:w="2232" w:type="dxa"/>
            <w:shd w:val="clear" w:color="auto" w:fill="D9E2F3"/>
            <w:tcMar>
              <w:top w:w="65" w:type="dxa"/>
              <w:left w:w="75" w:type="dxa"/>
              <w:bottom w:w="65" w:type="dxa"/>
              <w:right w:w="75" w:type="dxa"/>
            </w:tcMar>
            <w:vAlign w:val="center"/>
          </w:tcPr>
          <w:p w14:paraId="6959D4A3" w14:textId="77777777" w:rsidR="003B7E87" w:rsidRDefault="00000000">
            <w:pPr>
              <w:spacing w:after="0" w:line="240" w:lineRule="auto"/>
            </w:pPr>
            <w:r>
              <w:rPr>
                <w:b/>
                <w:sz w:val="19"/>
              </w:rPr>
              <w:t>Montant total</w:t>
            </w:r>
          </w:p>
        </w:tc>
        <w:tc>
          <w:tcPr>
            <w:tcW w:w="7848" w:type="dxa"/>
            <w:tcMar>
              <w:top w:w="65" w:type="dxa"/>
              <w:left w:w="75" w:type="dxa"/>
              <w:bottom w:w="65" w:type="dxa"/>
              <w:right w:w="75" w:type="dxa"/>
            </w:tcMar>
            <w:vAlign w:val="center"/>
          </w:tcPr>
          <w:p w14:paraId="363F5CE3" w14:textId="77777777" w:rsidR="003B7E87" w:rsidRDefault="00000000">
            <w:pPr>
              <w:spacing w:after="0" w:line="240" w:lineRule="auto"/>
            </w:pPr>
            <w:r>
              <w:rPr>
                <w:sz w:val="19"/>
              </w:rPr>
              <w:t>246 618 $</w:t>
            </w:r>
          </w:p>
        </w:tc>
      </w:tr>
    </w:tbl>
    <w:p w14:paraId="72D842D7" w14:textId="77777777" w:rsidR="003B7E87" w:rsidRDefault="003B7E87">
      <w:pPr>
        <w:spacing w:after="40"/>
      </w:pPr>
    </w:p>
    <w:tbl>
      <w:tblPr>
        <w:tblW w:w="0" w:type="auto"/>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232"/>
        <w:gridCol w:w="3384"/>
        <w:gridCol w:w="1944"/>
        <w:gridCol w:w="2520"/>
      </w:tblGrid>
      <w:tr w:rsidR="003B7E87" w14:paraId="57BC75B3" w14:textId="77777777">
        <w:trPr>
          <w:jc w:val="center"/>
        </w:trPr>
        <w:tc>
          <w:tcPr>
            <w:tcW w:w="2232" w:type="dxa"/>
            <w:shd w:val="clear" w:color="auto" w:fill="D9E2F3"/>
            <w:tcMar>
              <w:top w:w="65" w:type="dxa"/>
              <w:left w:w="75" w:type="dxa"/>
              <w:bottom w:w="65" w:type="dxa"/>
              <w:right w:w="75" w:type="dxa"/>
            </w:tcMar>
            <w:vAlign w:val="center"/>
          </w:tcPr>
          <w:p w14:paraId="6D893321" w14:textId="77777777" w:rsidR="003B7E87" w:rsidRDefault="00000000">
            <w:pPr>
              <w:spacing w:after="0" w:line="240" w:lineRule="auto"/>
            </w:pPr>
            <w:r>
              <w:rPr>
                <w:b/>
                <w:sz w:val="16"/>
              </w:rPr>
              <w:t>Poste de dépense</w:t>
            </w:r>
          </w:p>
        </w:tc>
        <w:tc>
          <w:tcPr>
            <w:tcW w:w="3384" w:type="dxa"/>
            <w:shd w:val="clear" w:color="auto" w:fill="D9E2F3"/>
            <w:tcMar>
              <w:top w:w="65" w:type="dxa"/>
              <w:left w:w="75" w:type="dxa"/>
              <w:bottom w:w="65" w:type="dxa"/>
              <w:right w:w="75" w:type="dxa"/>
            </w:tcMar>
            <w:vAlign w:val="center"/>
          </w:tcPr>
          <w:p w14:paraId="437B7119" w14:textId="77777777" w:rsidR="003B7E87" w:rsidRDefault="00000000">
            <w:pPr>
              <w:spacing w:after="0" w:line="240" w:lineRule="auto"/>
            </w:pPr>
            <w:r>
              <w:rPr>
                <w:b/>
                <w:sz w:val="16"/>
              </w:rPr>
              <w:t>Description / référence</w:t>
            </w:r>
          </w:p>
        </w:tc>
        <w:tc>
          <w:tcPr>
            <w:tcW w:w="1944" w:type="dxa"/>
            <w:shd w:val="clear" w:color="auto" w:fill="D9E2F3"/>
            <w:tcMar>
              <w:top w:w="65" w:type="dxa"/>
              <w:left w:w="75" w:type="dxa"/>
              <w:bottom w:w="65" w:type="dxa"/>
              <w:right w:w="75" w:type="dxa"/>
            </w:tcMar>
            <w:vAlign w:val="center"/>
          </w:tcPr>
          <w:p w14:paraId="71AEAC83" w14:textId="77777777" w:rsidR="003B7E87" w:rsidRDefault="00000000">
            <w:pPr>
              <w:spacing w:after="0" w:line="240" w:lineRule="auto"/>
            </w:pPr>
            <w:r>
              <w:rPr>
                <w:b/>
                <w:sz w:val="16"/>
              </w:rPr>
              <w:t>Montant estimé</w:t>
            </w:r>
          </w:p>
        </w:tc>
        <w:tc>
          <w:tcPr>
            <w:tcW w:w="2520" w:type="dxa"/>
            <w:shd w:val="clear" w:color="auto" w:fill="D9E2F3"/>
            <w:tcMar>
              <w:top w:w="65" w:type="dxa"/>
              <w:left w:w="75" w:type="dxa"/>
              <w:bottom w:w="65" w:type="dxa"/>
              <w:right w:w="75" w:type="dxa"/>
            </w:tcMar>
            <w:vAlign w:val="center"/>
          </w:tcPr>
          <w:p w14:paraId="551D1506" w14:textId="77777777" w:rsidR="003B7E87" w:rsidRDefault="00000000">
            <w:pPr>
              <w:spacing w:after="0" w:line="240" w:lineRule="auto"/>
            </w:pPr>
            <w:r>
              <w:rPr>
                <w:b/>
                <w:sz w:val="16"/>
              </w:rPr>
              <w:t>Notes</w:t>
            </w:r>
          </w:p>
        </w:tc>
      </w:tr>
      <w:tr w:rsidR="003B7E87" w:rsidRPr="009D2FF2" w14:paraId="20EDFEB4" w14:textId="77777777">
        <w:trPr>
          <w:jc w:val="center"/>
        </w:trPr>
        <w:tc>
          <w:tcPr>
            <w:tcW w:w="2232" w:type="dxa"/>
            <w:tcMar>
              <w:top w:w="65" w:type="dxa"/>
              <w:left w:w="75" w:type="dxa"/>
              <w:bottom w:w="65" w:type="dxa"/>
              <w:right w:w="75" w:type="dxa"/>
            </w:tcMar>
            <w:vAlign w:val="center"/>
          </w:tcPr>
          <w:p w14:paraId="73FC2ACB" w14:textId="77777777" w:rsidR="003B7E87" w:rsidRDefault="00000000">
            <w:pPr>
              <w:spacing w:after="0" w:line="240" w:lineRule="auto"/>
            </w:pPr>
            <w:r>
              <w:rPr>
                <w:sz w:val="16"/>
              </w:rPr>
              <w:t>Acquisition du terrain</w:t>
            </w:r>
          </w:p>
        </w:tc>
        <w:tc>
          <w:tcPr>
            <w:tcW w:w="3384" w:type="dxa"/>
            <w:tcMar>
              <w:top w:w="65" w:type="dxa"/>
              <w:left w:w="75" w:type="dxa"/>
              <w:bottom w:w="65" w:type="dxa"/>
              <w:right w:w="75" w:type="dxa"/>
            </w:tcMar>
            <w:vAlign w:val="center"/>
          </w:tcPr>
          <w:p w14:paraId="2C0294A0" w14:textId="77777777" w:rsidR="003B7E87" w:rsidRDefault="00000000">
            <w:pPr>
              <w:spacing w:after="0" w:line="240" w:lineRule="auto"/>
            </w:pPr>
            <w:r>
              <w:rPr>
                <w:sz w:val="16"/>
              </w:rPr>
              <w:t>Lot 5 522 561</w:t>
            </w:r>
          </w:p>
        </w:tc>
        <w:tc>
          <w:tcPr>
            <w:tcW w:w="1944" w:type="dxa"/>
            <w:tcMar>
              <w:top w:w="65" w:type="dxa"/>
              <w:left w:w="75" w:type="dxa"/>
              <w:bottom w:w="65" w:type="dxa"/>
              <w:right w:w="75" w:type="dxa"/>
            </w:tcMar>
            <w:vAlign w:val="center"/>
          </w:tcPr>
          <w:p w14:paraId="7A0C80BC" w14:textId="77777777" w:rsidR="003B7E87" w:rsidRDefault="00000000">
            <w:pPr>
              <w:spacing w:after="0" w:line="240" w:lineRule="auto"/>
            </w:pPr>
            <w:r>
              <w:rPr>
                <w:sz w:val="16"/>
              </w:rPr>
              <w:t>9 000 $</w:t>
            </w:r>
          </w:p>
        </w:tc>
        <w:tc>
          <w:tcPr>
            <w:tcW w:w="2520" w:type="dxa"/>
            <w:tcMar>
              <w:top w:w="65" w:type="dxa"/>
              <w:left w:w="75" w:type="dxa"/>
              <w:bottom w:w="65" w:type="dxa"/>
              <w:right w:w="75" w:type="dxa"/>
            </w:tcMar>
            <w:vAlign w:val="center"/>
          </w:tcPr>
          <w:p w14:paraId="4CB3987E" w14:textId="77777777" w:rsidR="003B7E87" w:rsidRPr="009D2FF2" w:rsidRDefault="00000000">
            <w:pPr>
              <w:spacing w:after="0" w:line="240" w:lineRule="auto"/>
              <w:rPr>
                <w:lang w:val="fr-CA"/>
              </w:rPr>
            </w:pPr>
            <w:r w:rsidRPr="009D2FF2">
              <w:rPr>
                <w:sz w:val="16"/>
                <w:lang w:val="fr-CA"/>
              </w:rPr>
              <w:t>Déjà payé / à financer par le règlement</w:t>
            </w:r>
          </w:p>
        </w:tc>
      </w:tr>
      <w:tr w:rsidR="003B7E87" w:rsidRPr="009D2FF2" w14:paraId="65627794" w14:textId="77777777">
        <w:trPr>
          <w:jc w:val="center"/>
        </w:trPr>
        <w:tc>
          <w:tcPr>
            <w:tcW w:w="2232" w:type="dxa"/>
            <w:tcMar>
              <w:top w:w="65" w:type="dxa"/>
              <w:left w:w="75" w:type="dxa"/>
              <w:bottom w:w="65" w:type="dxa"/>
              <w:right w:w="75" w:type="dxa"/>
            </w:tcMar>
            <w:vAlign w:val="center"/>
          </w:tcPr>
          <w:p w14:paraId="65510C91" w14:textId="77777777" w:rsidR="003B7E87" w:rsidRDefault="00000000">
            <w:pPr>
              <w:spacing w:after="0" w:line="240" w:lineRule="auto"/>
            </w:pPr>
            <w:r>
              <w:rPr>
                <w:sz w:val="16"/>
              </w:rPr>
              <w:t xml:space="preserve">Frais de </w:t>
            </w:r>
            <w:proofErr w:type="spellStart"/>
            <w:r>
              <w:rPr>
                <w:sz w:val="16"/>
              </w:rPr>
              <w:t>notaire</w:t>
            </w:r>
            <w:proofErr w:type="spellEnd"/>
          </w:p>
        </w:tc>
        <w:tc>
          <w:tcPr>
            <w:tcW w:w="3384" w:type="dxa"/>
            <w:tcMar>
              <w:top w:w="65" w:type="dxa"/>
              <w:left w:w="75" w:type="dxa"/>
              <w:bottom w:w="65" w:type="dxa"/>
              <w:right w:w="75" w:type="dxa"/>
            </w:tcMar>
            <w:vAlign w:val="center"/>
          </w:tcPr>
          <w:p w14:paraId="715BF3F5" w14:textId="592A9905" w:rsidR="003B7E87" w:rsidRPr="005E3BFB" w:rsidRDefault="00000000">
            <w:pPr>
              <w:spacing w:after="0" w:line="240" w:lineRule="auto"/>
              <w:rPr>
                <w:lang w:val="fr-CA"/>
              </w:rPr>
            </w:pPr>
            <w:r w:rsidRPr="005E3BFB">
              <w:rPr>
                <w:sz w:val="16"/>
                <w:lang w:val="fr-CA"/>
              </w:rPr>
              <w:t>Transaction du terrain</w:t>
            </w:r>
            <w:r w:rsidR="005E3BFB" w:rsidRPr="005E3BFB">
              <w:rPr>
                <w:sz w:val="16"/>
                <w:lang w:val="fr-CA"/>
              </w:rPr>
              <w:t xml:space="preserve"> (</w:t>
            </w:r>
            <w:r w:rsidR="005E3BFB">
              <w:rPr>
                <w:sz w:val="16"/>
                <w:lang w:val="fr-CA"/>
              </w:rPr>
              <w:t xml:space="preserve">Me </w:t>
            </w:r>
            <w:r w:rsidR="005E3BFB" w:rsidRPr="005E3BFB">
              <w:rPr>
                <w:sz w:val="16"/>
                <w:lang w:val="fr-CA"/>
              </w:rPr>
              <w:t>Langis B</w:t>
            </w:r>
            <w:r w:rsidR="005E3BFB">
              <w:rPr>
                <w:sz w:val="16"/>
                <w:lang w:val="fr-CA"/>
              </w:rPr>
              <w:t>lais)</w:t>
            </w:r>
          </w:p>
        </w:tc>
        <w:tc>
          <w:tcPr>
            <w:tcW w:w="1944" w:type="dxa"/>
            <w:tcMar>
              <w:top w:w="65" w:type="dxa"/>
              <w:left w:w="75" w:type="dxa"/>
              <w:bottom w:w="65" w:type="dxa"/>
              <w:right w:w="75" w:type="dxa"/>
            </w:tcMar>
            <w:vAlign w:val="center"/>
          </w:tcPr>
          <w:p w14:paraId="6FAB03AC" w14:textId="77777777" w:rsidR="003B7E87" w:rsidRDefault="00000000">
            <w:pPr>
              <w:spacing w:after="0" w:line="240" w:lineRule="auto"/>
            </w:pPr>
            <w:r>
              <w:rPr>
                <w:sz w:val="16"/>
              </w:rPr>
              <w:t>1 500 $</w:t>
            </w:r>
          </w:p>
        </w:tc>
        <w:tc>
          <w:tcPr>
            <w:tcW w:w="2520" w:type="dxa"/>
            <w:tcMar>
              <w:top w:w="65" w:type="dxa"/>
              <w:left w:w="75" w:type="dxa"/>
              <w:bottom w:w="65" w:type="dxa"/>
              <w:right w:w="75" w:type="dxa"/>
            </w:tcMar>
            <w:vAlign w:val="center"/>
          </w:tcPr>
          <w:p w14:paraId="0EB8DF7D" w14:textId="77777777" w:rsidR="003B7E87" w:rsidRPr="009D2FF2" w:rsidRDefault="00000000">
            <w:pPr>
              <w:spacing w:after="0" w:line="240" w:lineRule="auto"/>
              <w:rPr>
                <w:lang w:val="fr-CA"/>
              </w:rPr>
            </w:pPr>
            <w:r w:rsidRPr="009D2FF2">
              <w:rPr>
                <w:sz w:val="16"/>
                <w:lang w:val="fr-CA"/>
              </w:rPr>
              <w:t>Déjà payé / à financer par le règlement</w:t>
            </w:r>
          </w:p>
        </w:tc>
      </w:tr>
      <w:tr w:rsidR="003B7E87" w:rsidRPr="00BC61CA" w14:paraId="0EC7F50D" w14:textId="77777777">
        <w:trPr>
          <w:jc w:val="center"/>
        </w:trPr>
        <w:tc>
          <w:tcPr>
            <w:tcW w:w="2232" w:type="dxa"/>
            <w:tcMar>
              <w:top w:w="65" w:type="dxa"/>
              <w:left w:w="75" w:type="dxa"/>
              <w:bottom w:w="65" w:type="dxa"/>
              <w:right w:w="75" w:type="dxa"/>
            </w:tcMar>
            <w:vAlign w:val="center"/>
          </w:tcPr>
          <w:p w14:paraId="0D925950" w14:textId="77777777" w:rsidR="003B7E87" w:rsidRDefault="00000000">
            <w:pPr>
              <w:spacing w:after="0" w:line="240" w:lineRule="auto"/>
            </w:pPr>
            <w:proofErr w:type="spellStart"/>
            <w:r>
              <w:rPr>
                <w:sz w:val="16"/>
              </w:rPr>
              <w:t>Arpentage</w:t>
            </w:r>
            <w:proofErr w:type="spellEnd"/>
            <w:r>
              <w:rPr>
                <w:sz w:val="16"/>
              </w:rPr>
              <w:t xml:space="preserve"> et frais </w:t>
            </w:r>
            <w:proofErr w:type="spellStart"/>
            <w:r>
              <w:rPr>
                <w:sz w:val="16"/>
              </w:rPr>
              <w:t>connexes</w:t>
            </w:r>
            <w:proofErr w:type="spellEnd"/>
          </w:p>
        </w:tc>
        <w:tc>
          <w:tcPr>
            <w:tcW w:w="3384" w:type="dxa"/>
            <w:tcMar>
              <w:top w:w="65" w:type="dxa"/>
              <w:left w:w="75" w:type="dxa"/>
              <w:bottom w:w="65" w:type="dxa"/>
              <w:right w:w="75" w:type="dxa"/>
            </w:tcMar>
            <w:vAlign w:val="center"/>
          </w:tcPr>
          <w:p w14:paraId="4278FECB" w14:textId="12158228" w:rsidR="003B7E87" w:rsidRDefault="00BC4471">
            <w:pPr>
              <w:spacing w:after="0" w:line="240" w:lineRule="auto"/>
            </w:pPr>
            <w:r>
              <w:rPr>
                <w:sz w:val="16"/>
              </w:rPr>
              <w:t>Geo</w:t>
            </w:r>
            <w:r w:rsidR="005E3BFB">
              <w:rPr>
                <w:sz w:val="16"/>
              </w:rPr>
              <w:t>terram</w:t>
            </w:r>
          </w:p>
        </w:tc>
        <w:tc>
          <w:tcPr>
            <w:tcW w:w="1944" w:type="dxa"/>
            <w:tcMar>
              <w:top w:w="65" w:type="dxa"/>
              <w:left w:w="75" w:type="dxa"/>
              <w:bottom w:w="65" w:type="dxa"/>
              <w:right w:w="75" w:type="dxa"/>
            </w:tcMar>
            <w:vAlign w:val="center"/>
          </w:tcPr>
          <w:p w14:paraId="36D39C72" w14:textId="17477B14" w:rsidR="003B7E87" w:rsidRDefault="009D2FF2">
            <w:pPr>
              <w:spacing w:after="0" w:line="240" w:lineRule="auto"/>
            </w:pPr>
            <w:r>
              <w:rPr>
                <w:sz w:val="16"/>
              </w:rPr>
              <w:t>3675 $</w:t>
            </w:r>
          </w:p>
        </w:tc>
        <w:tc>
          <w:tcPr>
            <w:tcW w:w="2520" w:type="dxa"/>
            <w:tcMar>
              <w:top w:w="65" w:type="dxa"/>
              <w:left w:w="75" w:type="dxa"/>
              <w:bottom w:w="65" w:type="dxa"/>
              <w:right w:w="75" w:type="dxa"/>
            </w:tcMar>
            <w:vAlign w:val="center"/>
          </w:tcPr>
          <w:p w14:paraId="6F258E10" w14:textId="2602BB09" w:rsidR="003B7E87" w:rsidRPr="00BC61CA" w:rsidRDefault="00BC61CA">
            <w:pPr>
              <w:spacing w:after="0" w:line="240" w:lineRule="auto"/>
              <w:rPr>
                <w:lang w:val="fr-CA"/>
              </w:rPr>
            </w:pPr>
            <w:r w:rsidRPr="009D2FF2">
              <w:rPr>
                <w:sz w:val="16"/>
                <w:lang w:val="fr-CA"/>
              </w:rPr>
              <w:t>Déjà payé / à financer par le règlement</w:t>
            </w:r>
          </w:p>
        </w:tc>
      </w:tr>
      <w:tr w:rsidR="003B7E87" w14:paraId="78669525" w14:textId="77777777">
        <w:trPr>
          <w:jc w:val="center"/>
        </w:trPr>
        <w:tc>
          <w:tcPr>
            <w:tcW w:w="2232" w:type="dxa"/>
            <w:tcMar>
              <w:top w:w="65" w:type="dxa"/>
              <w:left w:w="75" w:type="dxa"/>
              <w:bottom w:w="65" w:type="dxa"/>
              <w:right w:w="75" w:type="dxa"/>
            </w:tcMar>
            <w:vAlign w:val="center"/>
          </w:tcPr>
          <w:p w14:paraId="2810A34E" w14:textId="77777777" w:rsidR="003B7E87" w:rsidRDefault="00000000">
            <w:pPr>
              <w:spacing w:after="0" w:line="240" w:lineRule="auto"/>
            </w:pPr>
            <w:proofErr w:type="spellStart"/>
            <w:r>
              <w:rPr>
                <w:sz w:val="16"/>
              </w:rPr>
              <w:t>Honoraires</w:t>
            </w:r>
            <w:proofErr w:type="spellEnd"/>
            <w:r>
              <w:rPr>
                <w:sz w:val="16"/>
              </w:rPr>
              <w:t xml:space="preserve"> </w:t>
            </w:r>
            <w:proofErr w:type="spellStart"/>
            <w:r>
              <w:rPr>
                <w:sz w:val="16"/>
              </w:rPr>
              <w:t>professionnels</w:t>
            </w:r>
            <w:proofErr w:type="spellEnd"/>
          </w:p>
        </w:tc>
        <w:tc>
          <w:tcPr>
            <w:tcW w:w="3384" w:type="dxa"/>
            <w:tcMar>
              <w:top w:w="65" w:type="dxa"/>
              <w:left w:w="75" w:type="dxa"/>
              <w:bottom w:w="65" w:type="dxa"/>
              <w:right w:w="75" w:type="dxa"/>
            </w:tcMar>
            <w:vAlign w:val="center"/>
          </w:tcPr>
          <w:p w14:paraId="2155A7ED" w14:textId="77777777" w:rsidR="003B7E87" w:rsidRPr="009D2FF2" w:rsidRDefault="00000000">
            <w:pPr>
              <w:spacing w:after="0" w:line="240" w:lineRule="auto"/>
              <w:rPr>
                <w:lang w:val="fr-CA"/>
              </w:rPr>
            </w:pPr>
            <w:r w:rsidRPr="009D2FF2">
              <w:rPr>
                <w:sz w:val="16"/>
                <w:lang w:val="fr-CA"/>
              </w:rPr>
              <w:t>Plans, devis, ingénierie, surveillance ou accompagnement</w:t>
            </w:r>
          </w:p>
        </w:tc>
        <w:tc>
          <w:tcPr>
            <w:tcW w:w="1944" w:type="dxa"/>
            <w:tcMar>
              <w:top w:w="65" w:type="dxa"/>
              <w:left w:w="75" w:type="dxa"/>
              <w:bottom w:w="65" w:type="dxa"/>
              <w:right w:w="75" w:type="dxa"/>
            </w:tcMar>
            <w:vAlign w:val="center"/>
          </w:tcPr>
          <w:p w14:paraId="6E17F89A" w14:textId="4EC0B2F6" w:rsidR="003B7E87" w:rsidRDefault="005334B7">
            <w:pPr>
              <w:spacing w:after="0" w:line="240" w:lineRule="auto"/>
            </w:pPr>
            <w:r>
              <w:rPr>
                <w:sz w:val="16"/>
              </w:rPr>
              <w:t>13 602 $</w:t>
            </w:r>
          </w:p>
        </w:tc>
        <w:tc>
          <w:tcPr>
            <w:tcW w:w="2520" w:type="dxa"/>
            <w:tcMar>
              <w:top w:w="65" w:type="dxa"/>
              <w:left w:w="75" w:type="dxa"/>
              <w:bottom w:w="65" w:type="dxa"/>
              <w:right w:w="75" w:type="dxa"/>
            </w:tcMar>
            <w:vAlign w:val="center"/>
          </w:tcPr>
          <w:p w14:paraId="28A90D0E" w14:textId="77777777" w:rsidR="003B7E87" w:rsidRDefault="003B7E87">
            <w:pPr>
              <w:spacing w:after="0" w:line="240" w:lineRule="auto"/>
            </w:pPr>
          </w:p>
        </w:tc>
      </w:tr>
      <w:tr w:rsidR="003B7E87" w14:paraId="4FEA5843" w14:textId="77777777">
        <w:trPr>
          <w:jc w:val="center"/>
        </w:trPr>
        <w:tc>
          <w:tcPr>
            <w:tcW w:w="2232" w:type="dxa"/>
            <w:tcMar>
              <w:top w:w="65" w:type="dxa"/>
              <w:left w:w="75" w:type="dxa"/>
              <w:bottom w:w="65" w:type="dxa"/>
              <w:right w:w="75" w:type="dxa"/>
            </w:tcMar>
            <w:vAlign w:val="center"/>
          </w:tcPr>
          <w:p w14:paraId="12749C16" w14:textId="77777777" w:rsidR="003B7E87" w:rsidRDefault="00000000">
            <w:pPr>
              <w:spacing w:after="0" w:line="240" w:lineRule="auto"/>
            </w:pPr>
            <w:r>
              <w:rPr>
                <w:sz w:val="16"/>
              </w:rPr>
              <w:t>Construction et aménagement</w:t>
            </w:r>
          </w:p>
        </w:tc>
        <w:tc>
          <w:tcPr>
            <w:tcW w:w="3384" w:type="dxa"/>
            <w:tcMar>
              <w:top w:w="65" w:type="dxa"/>
              <w:left w:w="75" w:type="dxa"/>
              <w:bottom w:w="65" w:type="dxa"/>
              <w:right w:w="75" w:type="dxa"/>
            </w:tcMar>
            <w:vAlign w:val="center"/>
          </w:tcPr>
          <w:p w14:paraId="1E94C459" w14:textId="77777777" w:rsidR="003B7E87" w:rsidRPr="009D2FF2" w:rsidRDefault="00000000">
            <w:pPr>
              <w:spacing w:after="0" w:line="240" w:lineRule="auto"/>
              <w:rPr>
                <w:lang w:val="fr-CA"/>
              </w:rPr>
            </w:pPr>
            <w:r w:rsidRPr="009D2FF2">
              <w:rPr>
                <w:sz w:val="16"/>
                <w:lang w:val="fr-CA"/>
              </w:rPr>
              <w:t>Abri à sel, préparation du site, dalle, blocs, accès et travaux connexes</w:t>
            </w:r>
          </w:p>
        </w:tc>
        <w:tc>
          <w:tcPr>
            <w:tcW w:w="1944" w:type="dxa"/>
            <w:tcMar>
              <w:top w:w="65" w:type="dxa"/>
              <w:left w:w="75" w:type="dxa"/>
              <w:bottom w:w="65" w:type="dxa"/>
              <w:right w:w="75" w:type="dxa"/>
            </w:tcMar>
            <w:vAlign w:val="center"/>
          </w:tcPr>
          <w:p w14:paraId="4C3D4154" w14:textId="3D9020D4" w:rsidR="003B7E87" w:rsidRDefault="0061011E">
            <w:pPr>
              <w:spacing w:after="0" w:line="240" w:lineRule="auto"/>
            </w:pPr>
            <w:r>
              <w:rPr>
                <w:sz w:val="16"/>
              </w:rPr>
              <w:t>197 376</w:t>
            </w:r>
            <w:r w:rsidR="004C46F0">
              <w:rPr>
                <w:sz w:val="16"/>
              </w:rPr>
              <w:t xml:space="preserve"> $</w:t>
            </w:r>
          </w:p>
        </w:tc>
        <w:tc>
          <w:tcPr>
            <w:tcW w:w="2520" w:type="dxa"/>
            <w:tcMar>
              <w:top w:w="65" w:type="dxa"/>
              <w:left w:w="75" w:type="dxa"/>
              <w:bottom w:w="65" w:type="dxa"/>
              <w:right w:w="75" w:type="dxa"/>
            </w:tcMar>
            <w:vAlign w:val="center"/>
          </w:tcPr>
          <w:p w14:paraId="650019CA" w14:textId="77777777" w:rsidR="003B7E87" w:rsidRDefault="003B7E87">
            <w:pPr>
              <w:spacing w:after="0" w:line="240" w:lineRule="auto"/>
            </w:pPr>
          </w:p>
        </w:tc>
      </w:tr>
      <w:tr w:rsidR="003B7E87" w14:paraId="33F6B38E" w14:textId="77777777">
        <w:trPr>
          <w:jc w:val="center"/>
        </w:trPr>
        <w:tc>
          <w:tcPr>
            <w:tcW w:w="2232" w:type="dxa"/>
            <w:tcMar>
              <w:top w:w="65" w:type="dxa"/>
              <w:left w:w="75" w:type="dxa"/>
              <w:bottom w:w="65" w:type="dxa"/>
              <w:right w:w="75" w:type="dxa"/>
            </w:tcMar>
            <w:vAlign w:val="center"/>
          </w:tcPr>
          <w:p w14:paraId="6C48E22C" w14:textId="77777777" w:rsidR="003B7E87" w:rsidRDefault="00000000">
            <w:pPr>
              <w:spacing w:after="0" w:line="240" w:lineRule="auto"/>
            </w:pPr>
            <w:r>
              <w:rPr>
                <w:sz w:val="16"/>
              </w:rPr>
              <w:t>Imprévus</w:t>
            </w:r>
          </w:p>
        </w:tc>
        <w:tc>
          <w:tcPr>
            <w:tcW w:w="3384" w:type="dxa"/>
            <w:tcMar>
              <w:top w:w="65" w:type="dxa"/>
              <w:left w:w="75" w:type="dxa"/>
              <w:bottom w:w="65" w:type="dxa"/>
              <w:right w:w="75" w:type="dxa"/>
            </w:tcMar>
            <w:vAlign w:val="center"/>
          </w:tcPr>
          <w:p w14:paraId="43199809" w14:textId="7D6BED91" w:rsidR="003B7E87" w:rsidRDefault="000954B7">
            <w:pPr>
              <w:spacing w:after="0" w:line="240" w:lineRule="auto"/>
            </w:pPr>
            <w:r>
              <w:rPr>
                <w:sz w:val="16"/>
              </w:rPr>
              <w:t xml:space="preserve">10 % </w:t>
            </w:r>
            <w:r w:rsidR="00621EC7">
              <w:rPr>
                <w:sz w:val="16"/>
              </w:rPr>
              <w:t xml:space="preserve">(avant </w:t>
            </w:r>
            <w:proofErr w:type="spellStart"/>
            <w:r w:rsidR="00621EC7">
              <w:rPr>
                <w:sz w:val="16"/>
              </w:rPr>
              <w:t>tx</w:t>
            </w:r>
            <w:proofErr w:type="spellEnd"/>
            <w:r w:rsidR="00621EC7">
              <w:rPr>
                <w:sz w:val="16"/>
              </w:rPr>
              <w:t>)</w:t>
            </w:r>
          </w:p>
        </w:tc>
        <w:tc>
          <w:tcPr>
            <w:tcW w:w="1944" w:type="dxa"/>
            <w:tcMar>
              <w:top w:w="65" w:type="dxa"/>
              <w:left w:w="75" w:type="dxa"/>
              <w:bottom w:w="65" w:type="dxa"/>
              <w:right w:w="75" w:type="dxa"/>
            </w:tcMar>
            <w:vAlign w:val="center"/>
          </w:tcPr>
          <w:p w14:paraId="47EA7A65" w14:textId="178ACAFA" w:rsidR="003B7E87" w:rsidRDefault="00161B82">
            <w:pPr>
              <w:spacing w:after="0" w:line="240" w:lineRule="auto"/>
            </w:pPr>
            <w:r>
              <w:rPr>
                <w:sz w:val="16"/>
              </w:rPr>
              <w:t>21 465 $</w:t>
            </w:r>
          </w:p>
        </w:tc>
        <w:tc>
          <w:tcPr>
            <w:tcW w:w="2520" w:type="dxa"/>
            <w:tcMar>
              <w:top w:w="65" w:type="dxa"/>
              <w:left w:w="75" w:type="dxa"/>
              <w:bottom w:w="65" w:type="dxa"/>
              <w:right w:w="75" w:type="dxa"/>
            </w:tcMar>
            <w:vAlign w:val="center"/>
          </w:tcPr>
          <w:p w14:paraId="09664877" w14:textId="77777777" w:rsidR="003B7E87" w:rsidRDefault="003B7E87">
            <w:pPr>
              <w:spacing w:after="0" w:line="240" w:lineRule="auto"/>
            </w:pPr>
          </w:p>
        </w:tc>
      </w:tr>
      <w:tr w:rsidR="003B7E87" w:rsidRPr="009D2FF2" w14:paraId="132ECAA5" w14:textId="77777777">
        <w:trPr>
          <w:jc w:val="center"/>
        </w:trPr>
        <w:tc>
          <w:tcPr>
            <w:tcW w:w="2232" w:type="dxa"/>
            <w:shd w:val="clear" w:color="auto" w:fill="EAF0F8"/>
            <w:tcMar>
              <w:top w:w="65" w:type="dxa"/>
              <w:left w:w="75" w:type="dxa"/>
              <w:bottom w:w="65" w:type="dxa"/>
              <w:right w:w="75" w:type="dxa"/>
            </w:tcMar>
            <w:vAlign w:val="center"/>
          </w:tcPr>
          <w:p w14:paraId="7F541BF0" w14:textId="77777777" w:rsidR="003B7E87" w:rsidRDefault="00000000">
            <w:pPr>
              <w:spacing w:after="0" w:line="240" w:lineRule="auto"/>
            </w:pPr>
            <w:r>
              <w:rPr>
                <w:b/>
                <w:sz w:val="16"/>
              </w:rPr>
              <w:t>TOTAL</w:t>
            </w:r>
          </w:p>
        </w:tc>
        <w:tc>
          <w:tcPr>
            <w:tcW w:w="3384" w:type="dxa"/>
            <w:shd w:val="clear" w:color="auto" w:fill="EAF0F8"/>
            <w:tcMar>
              <w:top w:w="65" w:type="dxa"/>
              <w:left w:w="75" w:type="dxa"/>
              <w:bottom w:w="65" w:type="dxa"/>
              <w:right w:w="75" w:type="dxa"/>
            </w:tcMar>
            <w:vAlign w:val="center"/>
          </w:tcPr>
          <w:p w14:paraId="58C0B0A9" w14:textId="77777777" w:rsidR="003B7E87" w:rsidRDefault="003B7E87">
            <w:pPr>
              <w:spacing w:after="0" w:line="240" w:lineRule="auto"/>
            </w:pPr>
          </w:p>
        </w:tc>
        <w:tc>
          <w:tcPr>
            <w:tcW w:w="1944" w:type="dxa"/>
            <w:shd w:val="clear" w:color="auto" w:fill="EAF0F8"/>
            <w:tcMar>
              <w:top w:w="65" w:type="dxa"/>
              <w:left w:w="75" w:type="dxa"/>
              <w:bottom w:w="65" w:type="dxa"/>
              <w:right w:w="75" w:type="dxa"/>
            </w:tcMar>
            <w:vAlign w:val="center"/>
          </w:tcPr>
          <w:p w14:paraId="73462194" w14:textId="77777777" w:rsidR="003B7E87" w:rsidRDefault="00000000">
            <w:pPr>
              <w:spacing w:after="0" w:line="240" w:lineRule="auto"/>
            </w:pPr>
            <w:r>
              <w:rPr>
                <w:b/>
                <w:sz w:val="16"/>
              </w:rPr>
              <w:t>246 618 $</w:t>
            </w:r>
          </w:p>
        </w:tc>
        <w:tc>
          <w:tcPr>
            <w:tcW w:w="2520" w:type="dxa"/>
            <w:shd w:val="clear" w:color="auto" w:fill="EAF0F8"/>
            <w:tcMar>
              <w:top w:w="65" w:type="dxa"/>
              <w:left w:w="75" w:type="dxa"/>
              <w:bottom w:w="65" w:type="dxa"/>
              <w:right w:w="75" w:type="dxa"/>
            </w:tcMar>
            <w:vAlign w:val="center"/>
          </w:tcPr>
          <w:p w14:paraId="648310F7" w14:textId="77777777" w:rsidR="003B7E87" w:rsidRPr="009D2FF2" w:rsidRDefault="00000000">
            <w:pPr>
              <w:spacing w:after="0" w:line="240" w:lineRule="auto"/>
              <w:rPr>
                <w:lang w:val="fr-CA"/>
              </w:rPr>
            </w:pPr>
            <w:r w:rsidRPr="009D2FF2">
              <w:rPr>
                <w:b/>
                <w:sz w:val="16"/>
                <w:lang w:val="fr-CA"/>
              </w:rPr>
              <w:t>Doit correspondre au montant du règlement</w:t>
            </w:r>
          </w:p>
        </w:tc>
      </w:tr>
    </w:tbl>
    <w:p w14:paraId="0520D989" w14:textId="77777777" w:rsidR="003B7E87" w:rsidRPr="009D2FF2" w:rsidRDefault="00000000">
      <w:pPr>
        <w:spacing w:before="160" w:after="0"/>
        <w:rPr>
          <w:lang w:val="fr-CA"/>
        </w:rPr>
      </w:pPr>
      <w:r w:rsidRPr="009D2FF2">
        <w:rPr>
          <w:i/>
          <w:color w:val="595959"/>
          <w:sz w:val="17"/>
          <w:lang w:val="fr-CA"/>
        </w:rPr>
        <w:t>Note interne : les montants détaillés doivent être ajustés avant le dépôt final dans STAFA afin que le total corresponde exactement au montant de 246 618 $.</w:t>
      </w:r>
    </w:p>
    <w:sectPr w:rsidR="003B7E87" w:rsidRPr="009D2FF2" w:rsidSect="00034616">
      <w:headerReference w:type="default" r:id="rId9"/>
      <w:footerReference w:type="default" r:id="rId10"/>
      <w:pgSz w:w="12240" w:h="15840"/>
      <w:pgMar w:top="1037" w:right="1008" w:bottom="936" w:left="1008" w:header="49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6EDB" w14:textId="77777777" w:rsidR="000F5E04" w:rsidRDefault="000F5E04">
      <w:pPr>
        <w:spacing w:after="0" w:line="240" w:lineRule="auto"/>
      </w:pPr>
      <w:r>
        <w:separator/>
      </w:r>
    </w:p>
  </w:endnote>
  <w:endnote w:type="continuationSeparator" w:id="0">
    <w:p w14:paraId="3C6806B6" w14:textId="77777777" w:rsidR="000F5E04" w:rsidRDefault="000F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8DF4" w14:textId="03B81AC7" w:rsidR="003B7E87" w:rsidRDefault="00000000">
    <w:pPr>
      <w:pStyle w:val="Pieddepage"/>
      <w:jc w:val="right"/>
    </w:pPr>
    <w:r>
      <w:rPr>
        <w:sz w:val="20"/>
      </w:rPr>
      <w:fldChar w:fldCharType="begin"/>
    </w:r>
    <w:r>
      <w:rPr>
        <w:sz w:val="20"/>
      </w:rPr>
      <w:instrText xml:space="preserve"> PAGE </w:instrText>
    </w:r>
    <w:r w:rsidR="009D2FF2">
      <w:rPr>
        <w:sz w:val="20"/>
      </w:rPr>
      <w:fldChar w:fldCharType="separate"/>
    </w:r>
    <w:r w:rsidR="009D2FF2">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7719" w14:textId="77777777" w:rsidR="000F5E04" w:rsidRDefault="000F5E04">
      <w:pPr>
        <w:spacing w:after="0" w:line="240" w:lineRule="auto"/>
      </w:pPr>
      <w:r>
        <w:separator/>
      </w:r>
    </w:p>
  </w:footnote>
  <w:footnote w:type="continuationSeparator" w:id="0">
    <w:p w14:paraId="73AD4844" w14:textId="77777777" w:rsidR="000F5E04" w:rsidRDefault="000F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224"/>
    </w:tblGrid>
    <w:tr w:rsidR="003B7E87" w14:paraId="17E8B284" w14:textId="77777777">
      <w:trPr>
        <w:trHeight w:hRule="exact" w:val="216"/>
        <w:jc w:val="center"/>
      </w:trPr>
      <w:tc>
        <w:tcPr>
          <w:tcW w:w="10224" w:type="dxa"/>
          <w:shd w:val="clear" w:color="auto" w:fill="B4C6E7"/>
          <w:tcMar>
            <w:top w:w="0" w:type="dxa"/>
            <w:left w:w="35" w:type="dxa"/>
            <w:bottom w:w="0" w:type="dxa"/>
            <w:right w:w="25" w:type="dxa"/>
          </w:tcMar>
        </w:tcPr>
        <w:p w14:paraId="2C9CD6C9" w14:textId="77777777" w:rsidR="003B7E87" w:rsidRDefault="00000000">
          <w:pPr>
            <w:spacing w:after="0"/>
            <w:jc w:val="right"/>
          </w:pPr>
          <w:r>
            <w:rPr>
              <w:b/>
              <w:sz w:val="21"/>
            </w:rPr>
            <w:t>PROJET DE RÈGLEMENT NUMÉRO 362-2026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383674581">
    <w:abstractNumId w:val="8"/>
  </w:num>
  <w:num w:numId="2" w16cid:durableId="1556431048">
    <w:abstractNumId w:val="6"/>
  </w:num>
  <w:num w:numId="3" w16cid:durableId="1487470881">
    <w:abstractNumId w:val="5"/>
  </w:num>
  <w:num w:numId="4" w16cid:durableId="1126125062">
    <w:abstractNumId w:val="4"/>
  </w:num>
  <w:num w:numId="5" w16cid:durableId="1418286882">
    <w:abstractNumId w:val="7"/>
  </w:num>
  <w:num w:numId="6" w16cid:durableId="1374958328">
    <w:abstractNumId w:val="3"/>
  </w:num>
  <w:num w:numId="7" w16cid:durableId="1288002888">
    <w:abstractNumId w:val="2"/>
  </w:num>
  <w:num w:numId="8" w16cid:durableId="1814179507">
    <w:abstractNumId w:val="1"/>
  </w:num>
  <w:num w:numId="9" w16cid:durableId="191446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54B7"/>
    <w:rsid w:val="000F5E04"/>
    <w:rsid w:val="0015074B"/>
    <w:rsid w:val="00161B82"/>
    <w:rsid w:val="0029639D"/>
    <w:rsid w:val="002E0671"/>
    <w:rsid w:val="00326F90"/>
    <w:rsid w:val="003B7E87"/>
    <w:rsid w:val="004C46F0"/>
    <w:rsid w:val="005334B7"/>
    <w:rsid w:val="005C25F7"/>
    <w:rsid w:val="005E3BFB"/>
    <w:rsid w:val="0061011E"/>
    <w:rsid w:val="00621EC7"/>
    <w:rsid w:val="0069040D"/>
    <w:rsid w:val="007A16C6"/>
    <w:rsid w:val="0098417F"/>
    <w:rsid w:val="009C04A6"/>
    <w:rsid w:val="009D2FF2"/>
    <w:rsid w:val="00AA1D8D"/>
    <w:rsid w:val="00B47730"/>
    <w:rsid w:val="00BA1FF5"/>
    <w:rsid w:val="00BC4471"/>
    <w:rsid w:val="00BC61CA"/>
    <w:rsid w:val="00CB0664"/>
    <w:rsid w:val="00D906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40F0223-F13D-4876-8205-2768DE51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4260</Characters>
  <Application>Microsoft Office Word</Application>
  <DocSecurity>0</DocSecurity>
  <Lines>125</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règlement 362-2026 - Abri à sel</dc:title>
  <dc:subject>Municipalité de Saint-Alphonse</dc:subject>
  <dc:creator>Municipalité de Saint-Alphonse</dc:creator>
  <cp:keywords/>
  <dc:description>generated by python-docx</dc:description>
  <cp:lastModifiedBy>Jordan Charest</cp:lastModifiedBy>
  <cp:revision>6</cp:revision>
  <dcterms:created xsi:type="dcterms:W3CDTF">2026-07-15T15:43:00Z</dcterms:created>
  <dcterms:modified xsi:type="dcterms:W3CDTF">2026-07-15T15:46:00Z</dcterms:modified>
  <cp:category/>
</cp:coreProperties>
</file>