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8873" w14:textId="28E772D7" w:rsidR="00296830" w:rsidRPr="0010243B" w:rsidRDefault="0048712C">
      <w:pPr>
        <w:spacing w:before="20" w:after="40"/>
        <w:jc w:val="center"/>
        <w:rPr>
          <w:lang w:val="fr-CA"/>
        </w:rPr>
      </w:pPr>
      <w:r w:rsidRPr="0010243B">
        <w:rPr>
          <w:b/>
          <w:sz w:val="26"/>
          <w:lang w:val="fr-CA"/>
        </w:rPr>
        <w:t>AVIS PUBLIC DE PROMULGATION ET D’ENTRÉE EN VIGUEUR</w:t>
      </w:r>
    </w:p>
    <w:p w14:paraId="17D77454" w14:textId="3FEAC247" w:rsidR="00296830" w:rsidRPr="0010243B" w:rsidRDefault="0048712C">
      <w:pPr>
        <w:spacing w:after="60"/>
        <w:jc w:val="center"/>
        <w:rPr>
          <w:lang w:val="fr-CA"/>
        </w:rPr>
      </w:pPr>
      <w:r w:rsidRPr="0010243B">
        <w:rPr>
          <w:b/>
          <w:sz w:val="25"/>
          <w:lang w:val="fr-CA"/>
        </w:rPr>
        <w:t>RÈGLEMENT N° 357-2026</w:t>
      </w:r>
    </w:p>
    <w:p w14:paraId="3F96781B" w14:textId="61AFBEB3" w:rsidR="00296830" w:rsidRPr="0010243B" w:rsidRDefault="00296830">
      <w:pPr>
        <w:pBdr>
          <w:bottom w:val="single" w:sz="10" w:space="2" w:color="000000"/>
        </w:pBdr>
        <w:spacing w:after="160"/>
        <w:rPr>
          <w:lang w:val="fr-CA"/>
        </w:rPr>
      </w:pPr>
    </w:p>
    <w:p w14:paraId="0A8A897D" w14:textId="2D39648D" w:rsidR="00296830" w:rsidRPr="0010243B" w:rsidRDefault="0048712C">
      <w:pPr>
        <w:spacing w:after="160" w:line="252" w:lineRule="auto"/>
        <w:rPr>
          <w:lang w:val="fr-CA"/>
        </w:rPr>
      </w:pPr>
      <w:r w:rsidRPr="0010243B">
        <w:rPr>
          <w:b/>
          <w:sz w:val="22"/>
          <w:lang w:val="fr-CA"/>
        </w:rPr>
        <w:t>AVIS PUBLIC est, par les présentes, donné par le soussigné, directeur général et greffier-trésorier de la Municipalité de Saint-Alphonse, que :</w:t>
      </w:r>
    </w:p>
    <w:p w14:paraId="7FC9468A" w14:textId="3C9CB37E" w:rsidR="00296830" w:rsidRPr="0010243B" w:rsidRDefault="0048712C">
      <w:pPr>
        <w:spacing w:after="160" w:line="252" w:lineRule="auto"/>
        <w:rPr>
          <w:lang w:val="fr-CA"/>
        </w:rPr>
      </w:pPr>
      <w:r w:rsidRPr="0010243B">
        <w:rPr>
          <w:sz w:val="22"/>
          <w:lang w:val="fr-CA"/>
        </w:rPr>
        <w:t xml:space="preserve">Le conseil municipal a adopté, lors de sa séance ordinaire tenue le </w:t>
      </w:r>
      <w:r w:rsidRPr="0010243B">
        <w:rPr>
          <w:b/>
          <w:sz w:val="22"/>
          <w:lang w:val="fr-CA"/>
        </w:rPr>
        <w:t>13 juillet 2026</w:t>
      </w:r>
      <w:r w:rsidRPr="0010243B">
        <w:rPr>
          <w:sz w:val="22"/>
          <w:lang w:val="fr-CA"/>
        </w:rPr>
        <w:t>, le Règlement n° 357-2026 intitulé :</w:t>
      </w:r>
    </w:p>
    <w:p w14:paraId="67A41CEF" w14:textId="4E3AD84C" w:rsidR="00296830" w:rsidRPr="0010243B" w:rsidRDefault="0048712C">
      <w:pPr>
        <w:spacing w:after="180" w:line="252" w:lineRule="auto"/>
        <w:ind w:left="504" w:right="504"/>
        <w:jc w:val="center"/>
        <w:rPr>
          <w:lang w:val="fr-CA"/>
        </w:rPr>
      </w:pPr>
      <w:r w:rsidRPr="0010243B">
        <w:rPr>
          <w:b/>
          <w:lang w:val="fr-CA"/>
        </w:rPr>
        <w:t>« REMPLAÇANT ET ABROGEANT LE RÈGLEMENT N° 347-2024 ET ÉTABLISSANT LES RÈGLES DE GESTION CONTRACTUELLE APPLICABLES À L’ATTRIBUTION ET À L’EXÉCUTION DES CONTRATS DE LA MUNICIPALITÉ »</w:t>
      </w:r>
    </w:p>
    <w:p w14:paraId="1DF6DFF5" w14:textId="1A7A66AD" w:rsidR="00296830" w:rsidRPr="0010243B" w:rsidRDefault="0048712C">
      <w:pPr>
        <w:spacing w:after="160" w:line="252" w:lineRule="auto"/>
        <w:rPr>
          <w:lang w:val="fr-CA"/>
        </w:rPr>
      </w:pPr>
      <w:r w:rsidRPr="0010243B">
        <w:rPr>
          <w:sz w:val="22"/>
          <w:lang w:val="fr-CA"/>
        </w:rPr>
        <w:t>Ce règlement a pour objet de remplacer et d’abroger le Règlement n° 347-2024 et d’établir le cadre applicable à l’attribution et à l’exécution des contrats de la Municipalité, notamment en matière d’intégrité, de transparence, d’acquisition responsable, de biens et services québécois ou autrement canadiens, de rotation des éventuels cocontractants et d’attribution de certains contrats de gré à gré.</w:t>
      </w:r>
    </w:p>
    <w:p w14:paraId="22FA7965" w14:textId="494C1490" w:rsidR="00296830" w:rsidRPr="0010243B" w:rsidRDefault="0048712C">
      <w:pPr>
        <w:spacing w:after="160" w:line="252" w:lineRule="auto"/>
        <w:rPr>
          <w:lang w:val="fr-CA"/>
        </w:rPr>
      </w:pPr>
      <w:r w:rsidRPr="0010243B">
        <w:rPr>
          <w:sz w:val="22"/>
          <w:lang w:val="fr-CA"/>
        </w:rPr>
        <w:t xml:space="preserve">Conformément aux articles 450 et 451 du Code municipal du Québec, le règlement entre en vigueur le jour de sa publication, soit le </w:t>
      </w:r>
      <w:r w:rsidRPr="0010243B">
        <w:rPr>
          <w:b/>
          <w:sz w:val="22"/>
          <w:lang w:val="fr-CA"/>
        </w:rPr>
        <w:t>14 juillet 2026</w:t>
      </w:r>
      <w:r w:rsidRPr="0010243B">
        <w:rPr>
          <w:sz w:val="22"/>
          <w:lang w:val="fr-CA"/>
        </w:rPr>
        <w:t>.</w:t>
      </w:r>
    </w:p>
    <w:p w14:paraId="7E0FE4CA" w14:textId="0DD341E1" w:rsidR="00296830" w:rsidRPr="0010243B" w:rsidRDefault="0010243B">
      <w:pPr>
        <w:spacing w:after="220" w:line="252" w:lineRule="auto"/>
        <w:rPr>
          <w:lang w:val="fr-CA"/>
        </w:rPr>
      </w:pPr>
      <w:r>
        <w:rPr>
          <w:b/>
          <w:noProof/>
          <w:sz w:val="26"/>
        </w:rPr>
        <w:drawing>
          <wp:anchor distT="0" distB="0" distL="114300" distR="114300" simplePos="0" relativeHeight="251658752" behindDoc="0" locked="0" layoutInCell="1" allowOverlap="1" wp14:anchorId="595C7AEF" wp14:editId="56B48C49">
            <wp:simplePos x="0" y="0"/>
            <wp:positionH relativeFrom="column">
              <wp:posOffset>-124460</wp:posOffset>
            </wp:positionH>
            <wp:positionV relativeFrom="paragraph">
              <wp:posOffset>614045</wp:posOffset>
            </wp:positionV>
            <wp:extent cx="1632798" cy="612775"/>
            <wp:effectExtent l="0" t="0" r="0" b="0"/>
            <wp:wrapNone/>
            <wp:docPr id="4413443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44348" name="Image 441344348"/>
                    <pic:cNvPicPr/>
                  </pic:nvPicPr>
                  <pic:blipFill>
                    <a:blip r:embed="rId8"/>
                    <a:stretch>
                      <a:fillRect/>
                    </a:stretch>
                  </pic:blipFill>
                  <pic:spPr>
                    <a:xfrm>
                      <a:off x="0" y="0"/>
                      <a:ext cx="1632798" cy="612775"/>
                    </a:xfrm>
                    <a:prstGeom prst="rect">
                      <a:avLst/>
                    </a:prstGeom>
                  </pic:spPr>
                </pic:pic>
              </a:graphicData>
            </a:graphic>
            <wp14:sizeRelH relativeFrom="margin">
              <wp14:pctWidth>0</wp14:pctWidth>
            </wp14:sizeRelH>
            <wp14:sizeRelV relativeFrom="margin">
              <wp14:pctHeight>0</wp14:pctHeight>
            </wp14:sizeRelV>
          </wp:anchor>
        </w:drawing>
      </w:r>
      <w:r w:rsidR="0048712C" w:rsidRPr="0010243B">
        <w:rPr>
          <w:sz w:val="22"/>
          <w:lang w:val="fr-CA"/>
        </w:rPr>
        <w:t>Toute personne intéressée peut prendre connaissance du règlement au bureau municipal, situé au 127, rue Principale Est, à Saint-Alphonse, durant les heures normales d’ouverture, ainsi que sur le site Internet de la Municipalité.</w:t>
      </w:r>
    </w:p>
    <w:p w14:paraId="42C91610" w14:textId="4CD9AD0A" w:rsidR="00296830" w:rsidRPr="0010243B" w:rsidRDefault="0048712C">
      <w:pPr>
        <w:spacing w:after="300"/>
        <w:rPr>
          <w:lang w:val="fr-CA"/>
        </w:rPr>
      </w:pPr>
      <w:r w:rsidRPr="0010243B">
        <w:rPr>
          <w:b/>
          <w:sz w:val="22"/>
          <w:lang w:val="fr-CA"/>
        </w:rPr>
        <w:t>Donné à Saint-Alphonse, ce 14 juillet 2026.</w:t>
      </w:r>
    </w:p>
    <w:p w14:paraId="3760473E" w14:textId="77777777" w:rsidR="00296830" w:rsidRPr="0010243B" w:rsidRDefault="0048712C">
      <w:pPr>
        <w:spacing w:after="0"/>
        <w:rPr>
          <w:lang w:val="fr-CA"/>
        </w:rPr>
      </w:pPr>
      <w:r w:rsidRPr="0010243B">
        <w:rPr>
          <w:b/>
          <w:sz w:val="22"/>
          <w:lang w:val="fr-CA"/>
        </w:rPr>
        <w:t>Jordan Charest</w:t>
      </w:r>
    </w:p>
    <w:p w14:paraId="0399F0CA" w14:textId="77777777" w:rsidR="00296830" w:rsidRPr="0010243B" w:rsidRDefault="0048712C">
      <w:pPr>
        <w:spacing w:after="0"/>
        <w:rPr>
          <w:lang w:val="fr-CA"/>
        </w:rPr>
      </w:pPr>
      <w:r w:rsidRPr="0010243B">
        <w:rPr>
          <w:sz w:val="22"/>
          <w:lang w:val="fr-CA"/>
        </w:rPr>
        <w:t>Directeur général et greffier-trésorier</w:t>
      </w:r>
    </w:p>
    <w:sectPr w:rsidR="00296830" w:rsidRPr="0010243B" w:rsidSect="00034616">
      <w:headerReference w:type="even" r:id="rId9"/>
      <w:headerReference w:type="default" r:id="rId10"/>
      <w:footerReference w:type="even" r:id="rId11"/>
      <w:footerReference w:type="default" r:id="rId12"/>
      <w:headerReference w:type="first" r:id="rId13"/>
      <w:footerReference w:type="first" r:id="rId14"/>
      <w:pgSz w:w="12240" w:h="15840"/>
      <w:pgMar w:top="1224" w:right="1296" w:bottom="936" w:left="1296" w:header="28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3360" w14:textId="77777777" w:rsidR="0048712C" w:rsidRDefault="0048712C">
      <w:pPr>
        <w:spacing w:after="0"/>
      </w:pPr>
      <w:r>
        <w:separator/>
      </w:r>
    </w:p>
  </w:endnote>
  <w:endnote w:type="continuationSeparator" w:id="0">
    <w:p w14:paraId="21A667FB" w14:textId="77777777" w:rsidR="0048712C" w:rsidRDefault="004871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CA96" w14:textId="77777777" w:rsidR="00584A3F" w:rsidRDefault="00584A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241A" w14:textId="77777777" w:rsidR="00C8605C" w:rsidRDefault="00C8605C">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7060" w14:textId="77777777" w:rsidR="00584A3F" w:rsidRDefault="00584A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F66C" w14:textId="77777777" w:rsidR="0048712C" w:rsidRDefault="0048712C">
      <w:pPr>
        <w:spacing w:after="0"/>
      </w:pPr>
      <w:r>
        <w:separator/>
      </w:r>
    </w:p>
  </w:footnote>
  <w:footnote w:type="continuationSeparator" w:id="0">
    <w:p w14:paraId="70CA4CB5" w14:textId="77777777" w:rsidR="0048712C" w:rsidRDefault="004871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88AD" w14:textId="77777777" w:rsidR="00584A3F" w:rsidRDefault="00584A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nil"/>
        <w:left w:val="nil"/>
        <w:bottom w:val="nil"/>
        <w:right w:val="nil"/>
        <w:insideH w:val="nil"/>
        <w:insideV w:val="nil"/>
      </w:tblBorders>
      <w:tblLook w:val="04A0" w:firstRow="1" w:lastRow="0" w:firstColumn="1" w:lastColumn="0" w:noHBand="0" w:noVBand="1"/>
    </w:tblPr>
    <w:tblGrid>
      <w:gridCol w:w="9648"/>
    </w:tblGrid>
    <w:tr w:rsidR="00C8605C" w14:paraId="12801955" w14:textId="77777777">
      <w:trPr>
        <w:trHeight w:hRule="exact" w:val="259"/>
        <w:jc w:val="center"/>
      </w:trPr>
      <w:tc>
        <w:tcPr>
          <w:tcW w:w="9648" w:type="dxa"/>
          <w:shd w:val="clear" w:color="auto" w:fill="BDD7EE"/>
        </w:tcPr>
        <w:p w14:paraId="526BF418" w14:textId="6B3BFBD6" w:rsidR="00C8605C" w:rsidRDefault="000211B1">
          <w:pPr>
            <w:spacing w:after="0"/>
            <w:jc w:val="right"/>
          </w:pPr>
          <w:r>
            <w:rPr>
              <w:b/>
              <w:color w:val="1F497D"/>
              <w:sz w:val="20"/>
              <w:highlight w:val="yellow"/>
            </w:rPr>
            <w:t xml:space="preserve">RÈGLEMENT N° </w:t>
          </w:r>
          <w:r w:rsidR="00584A3F">
            <w:rPr>
              <w:b/>
              <w:color w:val="1F497D"/>
              <w:sz w:val="20"/>
              <w:highlight w:val="yellow"/>
            </w:rPr>
            <w:t>357-</w:t>
          </w:r>
          <w:r>
            <w:rPr>
              <w:b/>
              <w:color w:val="1F497D"/>
              <w:sz w:val="20"/>
              <w:highlight w:val="yellow"/>
            </w:rPr>
            <w:t>2026</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nil"/>
        <w:left w:val="nil"/>
        <w:bottom w:val="nil"/>
        <w:right w:val="nil"/>
        <w:insideH w:val="nil"/>
        <w:insideV w:val="nil"/>
      </w:tblBorders>
      <w:tblLook w:val="04A0" w:firstRow="1" w:lastRow="0" w:firstColumn="1" w:lastColumn="0" w:noHBand="0" w:noVBand="1"/>
    </w:tblPr>
    <w:tblGrid>
      <w:gridCol w:w="4752"/>
      <w:gridCol w:w="4896"/>
    </w:tblGrid>
    <w:tr w:rsidR="00C8605C" w14:paraId="3F2EB8F9" w14:textId="77777777">
      <w:trPr>
        <w:trHeight w:hRule="exact" w:val="259"/>
        <w:jc w:val="center"/>
      </w:trPr>
      <w:tc>
        <w:tcPr>
          <w:tcW w:w="9648" w:type="dxa"/>
          <w:gridSpan w:val="2"/>
          <w:shd w:val="clear" w:color="auto" w:fill="BDD7EE"/>
          <w:tcMar>
            <w:top w:w="0" w:type="dxa"/>
            <w:left w:w="0" w:type="dxa"/>
            <w:bottom w:w="0" w:type="dxa"/>
            <w:right w:w="80" w:type="dxa"/>
          </w:tcMar>
        </w:tcPr>
        <w:p w14:paraId="085BA752" w14:textId="77892520" w:rsidR="00C8605C" w:rsidRDefault="000211B1">
          <w:pPr>
            <w:spacing w:after="0"/>
            <w:jc w:val="right"/>
          </w:pPr>
          <w:r>
            <w:rPr>
              <w:b/>
              <w:color w:val="1F497D"/>
              <w:sz w:val="20"/>
            </w:rPr>
            <w:t>AVIS PUBLIC</w:t>
          </w:r>
        </w:p>
      </w:tc>
    </w:tr>
    <w:tr w:rsidR="00C8605C" w:rsidRPr="0010243B" w14:paraId="45118225" w14:textId="77777777">
      <w:trPr>
        <w:jc w:val="center"/>
      </w:trPr>
      <w:tc>
        <w:tcPr>
          <w:tcW w:w="4752" w:type="dxa"/>
          <w:vAlign w:val="center"/>
        </w:tcPr>
        <w:p w14:paraId="7E7B0D88" w14:textId="2C8EDCD7" w:rsidR="00C8605C" w:rsidRDefault="00ED59A3">
          <w:r>
            <w:rPr>
              <w:noProof/>
            </w:rPr>
            <w:drawing>
              <wp:anchor distT="0" distB="0" distL="114300" distR="114300" simplePos="0" relativeHeight="251658240" behindDoc="1" locked="0" layoutInCell="1" allowOverlap="1" wp14:anchorId="7FBAF121" wp14:editId="13A81FC4">
                <wp:simplePos x="0" y="0"/>
                <wp:positionH relativeFrom="column">
                  <wp:posOffset>-1826260</wp:posOffset>
                </wp:positionH>
                <wp:positionV relativeFrom="paragraph">
                  <wp:posOffset>-1270</wp:posOffset>
                </wp:positionV>
                <wp:extent cx="1778000" cy="755650"/>
                <wp:effectExtent l="0" t="0" r="0" b="6350"/>
                <wp:wrapSquare wrapText="bothSides"/>
                <wp:docPr id="7601738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73850" name="Image 760173850"/>
                        <pic:cNvPicPr/>
                      </pic:nvPicPr>
                      <pic:blipFill>
                        <a:blip r:embed="rId1"/>
                        <a:stretch>
                          <a:fillRect/>
                        </a:stretch>
                      </pic:blipFill>
                      <pic:spPr>
                        <a:xfrm>
                          <a:off x="0" y="0"/>
                          <a:ext cx="1778000" cy="755650"/>
                        </a:xfrm>
                        <a:prstGeom prst="rect">
                          <a:avLst/>
                        </a:prstGeom>
                      </pic:spPr>
                    </pic:pic>
                  </a:graphicData>
                </a:graphic>
                <wp14:sizeRelH relativeFrom="margin">
                  <wp14:pctWidth>0</wp14:pctWidth>
                </wp14:sizeRelH>
                <wp14:sizeRelV relativeFrom="margin">
                  <wp14:pctHeight>0</wp14:pctHeight>
                </wp14:sizeRelV>
              </wp:anchor>
            </w:drawing>
          </w:r>
        </w:p>
      </w:tc>
      <w:tc>
        <w:tcPr>
          <w:tcW w:w="4608" w:type="dxa"/>
          <w:vAlign w:val="center"/>
        </w:tcPr>
        <w:p w14:paraId="51C31BE2" w14:textId="77777777" w:rsidR="00C8605C" w:rsidRPr="00D60CAB" w:rsidRDefault="000211B1">
          <w:pPr>
            <w:spacing w:after="0"/>
            <w:jc w:val="right"/>
            <w:rPr>
              <w:lang w:val="fr-CA"/>
            </w:rPr>
          </w:pPr>
          <w:r w:rsidRPr="00D60CAB">
            <w:rPr>
              <w:sz w:val="19"/>
              <w:lang w:val="fr-CA"/>
            </w:rPr>
            <w:t>Province de Québec</w:t>
          </w:r>
          <w:r w:rsidRPr="00D60CAB">
            <w:rPr>
              <w:sz w:val="19"/>
              <w:lang w:val="fr-CA"/>
            </w:rPr>
            <w:br/>
            <w:t>MRC de Bonaventure</w:t>
          </w:r>
          <w:r w:rsidRPr="00D60CAB">
            <w:rPr>
              <w:sz w:val="19"/>
              <w:lang w:val="fr-CA"/>
            </w:rPr>
            <w:br/>
            <w:t>Municipalité de Saint-Alphonse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817339001">
    <w:abstractNumId w:val="8"/>
  </w:num>
  <w:num w:numId="2" w16cid:durableId="275987855">
    <w:abstractNumId w:val="6"/>
  </w:num>
  <w:num w:numId="3" w16cid:durableId="1079130967">
    <w:abstractNumId w:val="5"/>
  </w:num>
  <w:num w:numId="4" w16cid:durableId="902258499">
    <w:abstractNumId w:val="4"/>
  </w:num>
  <w:num w:numId="5" w16cid:durableId="230387857">
    <w:abstractNumId w:val="7"/>
  </w:num>
  <w:num w:numId="6" w16cid:durableId="269361949">
    <w:abstractNumId w:val="3"/>
  </w:num>
  <w:num w:numId="7" w16cid:durableId="87577384">
    <w:abstractNumId w:val="2"/>
  </w:num>
  <w:num w:numId="8" w16cid:durableId="1526364342">
    <w:abstractNumId w:val="1"/>
  </w:num>
  <w:num w:numId="9" w16cid:durableId="204219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1B1"/>
    <w:rsid w:val="00034616"/>
    <w:rsid w:val="0006063C"/>
    <w:rsid w:val="000B42DE"/>
    <w:rsid w:val="0010243B"/>
    <w:rsid w:val="0015074B"/>
    <w:rsid w:val="0029639D"/>
    <w:rsid w:val="00296830"/>
    <w:rsid w:val="002E0671"/>
    <w:rsid w:val="00300196"/>
    <w:rsid w:val="00326F90"/>
    <w:rsid w:val="004006A0"/>
    <w:rsid w:val="00427E59"/>
    <w:rsid w:val="0048712C"/>
    <w:rsid w:val="00575DBA"/>
    <w:rsid w:val="00584A3F"/>
    <w:rsid w:val="005D0EE1"/>
    <w:rsid w:val="00616713"/>
    <w:rsid w:val="00AA1D8D"/>
    <w:rsid w:val="00AC56E5"/>
    <w:rsid w:val="00B47730"/>
    <w:rsid w:val="00C40D68"/>
    <w:rsid w:val="00C8605C"/>
    <w:rsid w:val="00CB0664"/>
    <w:rsid w:val="00D60CAB"/>
    <w:rsid w:val="00ED59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18686FEC-8A99-4EB5-8CD9-B11A8915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40" w:lineRule="auto"/>
    </w:pPr>
    <w:rPr>
      <w:rFonts w:ascii="Arial" w:hAnsi="Arial"/>
      <w:sz w:val="21"/>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ind w:left="360"/>
      <w:contextualSpacing/>
    </w:pPr>
  </w:style>
  <w:style w:type="paragraph" w:styleId="Listecontinue2">
    <w:name w:val="List Continue 2"/>
    <w:basedOn w:val="Normal"/>
    <w:uiPriority w:val="99"/>
    <w:unhideWhenUsed/>
    <w:rsid w:val="0029639D"/>
    <w:pPr>
      <w:ind w:left="720"/>
      <w:contextualSpacing/>
    </w:pPr>
  </w:style>
  <w:style w:type="paragraph" w:styleId="Listecontinue3">
    <w:name w:val="List Continue 3"/>
    <w:basedOn w:val="Normal"/>
    <w:uiPriority w:val="99"/>
    <w:unhideWhenUsed/>
    <w:rsid w:val="0029639D"/>
    <w:pPr>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210</Words>
  <Characters>1189</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public de promulgation et d’entrée en vigueur - Règlement 357-2026</dc:title>
  <dc:subject>Municipalité de Saint-Alphonse</dc:subject>
  <dc:creator>Municipalité de Saint-Alphonse</dc:creator>
  <cp:keywords/>
  <dc:description/>
  <cp:lastModifiedBy>Jordan Charest</cp:lastModifiedBy>
  <cp:revision>2</cp:revision>
  <dcterms:created xsi:type="dcterms:W3CDTF">2026-07-14T18:33:00Z</dcterms:created>
  <dcterms:modified xsi:type="dcterms:W3CDTF">2026-07-14T18:33:00Z</dcterms:modified>
  <cp:category/>
</cp:coreProperties>
</file>